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800" w:after="0"/>
      </w:pPr>
    </w:p>
    <w:p>
      <w:pPr>
        <w:spacing w:before="0" w:after="40"/>
        <w:jc w:val="left"/>
      </w:pPr>
      <w:r>
        <w:rPr>
          <w:rFonts w:ascii="Arial" w:cs="Arial" w:eastAsia="Arial" w:hAnsi="Arial"/>
          <w:b/>
          <w:bCs/>
          <w:color w:val="B8912A"/>
          <w:sz w:val="20"/>
          <w:szCs w:val="20"/>
        </w:rPr>
        <w:t xml:space="preserve">DIAGNÓSTICO DE MARCA PERSONAL</w:t>
      </w:r>
    </w:p>
    <w:p>
      <w:pPr>
        <w:spacing w:before="0" w:after="80"/>
        <w:jc w:val="left"/>
      </w:pPr>
      <w:r>
        <w:rPr>
          <w:rFonts w:ascii="Arial" w:cs="Arial" w:eastAsia="Arial" w:hAnsi="Arial"/>
          <w:b/>
          <w:bCs/>
          <w:color w:val="1B2D5B"/>
          <w:sz w:val="56"/>
          <w:szCs w:val="56"/>
        </w:rPr>
        <w:t xml:space="preserve">Víctor Castañeda</w:t>
      </w:r>
    </w:p>
    <w:p>
      <w:pPr>
        <w:pBdr>
          <w:bottom w:val="single" w:color="B8912A" w:sz="6" w:space="10"/>
        </w:pBdr>
        <w:spacing w:before="0" w:after="60"/>
        <w:jc w:val="left"/>
      </w:pPr>
      <w:r>
        <w:rPr>
          <w:rFonts w:ascii="Georgia" w:cs="Georgia" w:eastAsia="Georgia" w:hAnsi="Georgia"/>
          <w:i/>
          <w:iCs/>
          <w:color w:val="4A5568"/>
          <w:sz w:val="26"/>
          <w:szCs w:val="26"/>
        </w:rPr>
        <w:t xml:space="preserve">ADN Actual · Evolución Estratégica · Propuesta Mente Imparable</w:t>
      </w:r>
    </w:p>
    <w:p>
      <w:pPr>
        <w:spacing w:before="120" w:after="0"/>
        <w:jc w:val="left"/>
      </w:pPr>
      <w:r>
        <w:rPr>
          <w:rFonts w:ascii="Georgia" w:cs="Georgia" w:eastAsia="Georgia" w:hAnsi="Georgia"/>
          <w:i/>
          <w:iCs/>
          <w:color w:val="6B7280"/>
          <w:sz w:val="21"/>
          <w:szCs w:val="21"/>
        </w:rPr>
        <w:t xml:space="preserve">Análisis elaborado desde la perspectiva del branding estratégico, la percepción de marca y la arquitectura de identidad</w:t>
      </w:r>
    </w:p>
    <w:p>
      <w:pPr>
        <w:spacing w:before="80" w:after="0"/>
        <w:jc w:val="left"/>
      </w:pPr>
      <w:r>
        <w:rPr>
          <w:rFonts w:ascii="Arial" w:cs="Arial" w:eastAsia="Arial" w:hAnsi="Arial"/>
          <w:color w:val="6B7280"/>
          <w:sz w:val="21"/>
          <w:szCs w:val="21"/>
        </w:rPr>
        <w:t xml:space="preserve">2025</w:t>
      </w:r>
    </w:p>
    <w:p>
      <w:r>
        <w:r>
          <w:br w:type="page"/>
        </w:r>
      </w:r>
    </w:p>
    <w:p>
      <w:pPr>
        <w:pBdr>
          <w:left w:val="single" w:color="B8912A" w:sz="16" w:space="16"/>
        </w:pBdr>
        <w:spacing w:before="0" w:after="100"/>
        <w:ind w:left="360"/>
      </w:pPr>
      <w:r>
        <w:rPr>
          <w:rFonts w:ascii="Arial" w:cs="Arial" w:eastAsia="Arial" w:hAnsi="Arial"/>
          <w:b/>
          <w:bCs/>
          <w:color w:val="B8912A"/>
          <w:sz w:val="22"/>
          <w:szCs w:val="22"/>
        </w:rPr>
        <w:t xml:space="preserve">Nota del autor</w:t>
      </w:r>
    </w:p>
    <w:p>
      <w:pPr>
        <w:pBdr>
          <w:left w:val="single" w:color="B8912A" w:sz="16" w:space="16"/>
        </w:pBdr>
        <w:spacing w:before="0" w:after="180"/>
        <w:ind w:left="360"/>
      </w:pPr>
      <w:r>
        <w:rPr>
          <w:rFonts w:ascii="Georgia" w:cs="Georgia" w:eastAsia="Georgia" w:hAnsi="Georgia"/>
          <w:i/>
          <w:iCs/>
          <w:color w:val="4A5568"/>
          <w:sz w:val="21"/>
          <w:szCs w:val="21"/>
        </w:rPr>
        <w:t xml:space="preserve">Este documento no es un manual de instrucciones. Es un diagnóstico estratégico elaborado desde el enfoque de quien ha dedicado años a estudiar cómo se construye, percibe y escala una marca personal en mercados de alto valor. Las conclusiones son directas, en algunos casos incómodas, y siempre fundamentadas en evidencia de lo que el propio Víctor Castañeda ha construido y en lo que su libro Mente Imparable abre como oportunidad de reposicionamiento. El lector encontrará análisis, opinión y recomendación: los tres niveles son deliberados.</w:t>
      </w:r>
    </w:p>
    <w:p>
      <w:pPr>
        <w:spacing w:before="80" w:after="80"/>
      </w:pPr>
      <w:r>
        <w:t xml:space="preserve"/>
      </w:r>
    </w:p>
    <w:p>
      <w:pPr>
        <w:pStyle w:val="Heading1"/>
        <w:pBdr>
          <w:bottom w:val="single" w:color="1B2D5B" w:sz="6" w:space="6"/>
        </w:pBdr>
        <w:spacing w:before="440" w:after="200"/>
      </w:pPr>
      <w:r>
        <w:rPr>
          <w:rFonts w:ascii="Arial" w:cs="Arial" w:eastAsia="Arial" w:hAnsi="Arial"/>
          <w:b/>
          <w:bCs/>
          <w:color w:val="1B2D5B"/>
          <w:sz w:val="34"/>
          <w:szCs w:val="34"/>
        </w:rPr>
        <w:t xml:space="preserve">I. El estado actual de la marca: un activo infrautilizado</w:t>
      </w:r>
    </w:p>
    <w:p>
      <w:pPr>
        <w:spacing w:before="0" w:after="180"/>
        <w:ind w:firstLine="0"/>
      </w:pPr>
      <w:r>
        <w:rPr>
          <w:rFonts w:ascii="Georgia" w:cs="Georgia" w:eastAsia="Georgia" w:hAnsi="Georgia"/>
          <w:color w:val="222222"/>
          <w:sz w:val="22"/>
          <w:szCs w:val="22"/>
        </w:rPr>
        <w:t xml:space="preserve">Víctor Castañeda ocupa hoy una posición envidiable en el mercado hispanohablante del entretenimiento corporativo y las conferencias de impacto. Más de 1,400 presentaciones, más de un millón de personas sorprendidas, presencia en medios de primer nivel y una comunidad de profesionales de alto valor percibido que lo orbita. Esos son hechos. Y son, por sí solos, una plataforma de marca poderosa.</w:t>
      </w:r>
    </w:p>
    <w:p>
      <w:pPr>
        <w:spacing w:before="0" w:after="180"/>
        <w:ind w:firstLine="0"/>
      </w:pPr>
      <w:r>
        <w:rPr>
          <w:rFonts w:ascii="Georgia" w:cs="Georgia" w:eastAsia="Georgia" w:hAnsi="Georgia"/>
          <w:color w:val="222222"/>
          <w:sz w:val="22"/>
          <w:szCs w:val="22"/>
        </w:rPr>
        <w:t xml:space="preserve">Sin embargo, cuando se analiza la arquitectura profunda de su identidad de marca —no los números, sino el sistema de creencias que genera en la mente de quien lo consume— emerge con claridad una brecha significativa entre el activo que posee y el valor que comunica. Esta es, en mi opinión, la primera y más importante conclusión de este diagnóstico:</w:t>
      </w:r>
    </w:p>
    <w:p>
      <w:pPr>
        <w:spacing w:before="60" w:after="60"/>
      </w:pPr>
      <w:r>
        <w:t xml:space="preserve"/>
      </w:r>
    </w:p>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160"/>
        <w:gridCol w:w="8900"/>
        <w:gridCol w:w="200"/>
      </w:tblGrid>
      <w:tr>
        <w:tc>
          <w:tcPr>
            <w:tcW w:type="dxa" w:w="160"/>
            <w:tcBorders>
              <w:top w:val="none" w:color="FFFFFF" w:sz="0"/>
              <w:left w:val="none" w:color="FFFFFF" w:sz="0"/>
              <w:bottom w:val="none" w:color="FFFFFF" w:sz="0"/>
              <w:right w:val="none" w:color="FFFFFF" w:sz="0"/>
            </w:tcBorders>
            <w:shd w:fill="1B2D5B" w:val="clear"/>
            <w:tcMar>
              <w:top w:type="dxa" w:w="0"/>
              <w:left w:type="dxa" w:w="0"/>
              <w:bottom w:type="dxa" w:w="0"/>
              <w:right w:type="dxa" w:w="0"/>
            </w:tcMar>
          </w:tcPr>
          <w:p>
            <w:r>
              <w:t xml:space="preserve"/>
            </w:r>
          </w:p>
        </w:tc>
        <w:tc>
          <w:tcPr>
            <w:tcW w:type="dxa" w:w="8900"/>
            <w:tcBorders>
              <w:top w:val="none" w:color="FFFFFF" w:sz="0"/>
              <w:left w:val="none" w:color="FFFFFF" w:sz="0"/>
              <w:bottom w:val="none" w:color="FFFFFF" w:sz="0"/>
              <w:right w:val="none" w:color="FFFFFF" w:sz="0"/>
            </w:tcBorders>
            <w:shd w:fill="F4F6FA" w:val="clear"/>
            <w:tcMar>
              <w:top w:type="dxa" w:w="160"/>
              <w:left w:type="dxa" w:w="280"/>
              <w:bottom w:type="dxa" w:w="160"/>
              <w:right w:type="dxa" w:w="280"/>
            </w:tcMar>
          </w:tcPr>
          <w:p>
            <w:pPr>
              <w:spacing w:before="0" w:after="0"/>
            </w:pPr>
            <w:r>
              <w:rPr>
                <w:rFonts w:ascii="Georgia" w:cs="Georgia" w:eastAsia="Georgia" w:hAnsi="Georgia"/>
                <w:i/>
                <w:iCs/>
                <w:color w:val="1B2D5B"/>
                <w:sz w:val="23"/>
                <w:szCs w:val="23"/>
              </w:rPr>
              <w:t xml:space="preserve">La marca actual de Víctor Castañeda tiene la potencia de un motor de alta cilindrada funcionando a la mitad de sus revoluciones. No por falta de talento, sino por ausencia de un relato de marca que esté a la altura de lo que realmente ofrece.</w:t>
            </w:r>
          </w:p>
        </w:tc>
        <w:tc>
          <w:tcPr>
            <w:tcW w:type="dxa" w:w="200"/>
            <w:tcBorders>
              <w:top w:val="none" w:color="FFFFFF" w:sz="0"/>
              <w:left w:val="none" w:color="FFFFFF" w:sz="0"/>
              <w:bottom w:val="none" w:color="FFFFFF" w:sz="0"/>
              <w:right w:val="none" w:color="FFFFFF" w:sz="0"/>
            </w:tcBorders>
            <w:shd w:fill="F4F6FA" w:val="clear"/>
            <w:tcMar>
              <w:top w:type="dxa" w:w="0"/>
              <w:left w:type="dxa" w:w="0"/>
              <w:bottom w:type="dxa" w:w="0"/>
              <w:right w:type="dxa" w:w="0"/>
            </w:tcMar>
          </w:tcPr>
          <w:p>
            <w:r>
              <w:t xml:space="preserve"/>
            </w:r>
          </w:p>
        </w:tc>
      </w:tr>
    </w:tbl>
    <w:p>
      <w:pPr>
        <w:spacing w:before="80" w:after="80"/>
      </w:pPr>
      <w:r>
        <w:t xml:space="preserve"/>
      </w:r>
    </w:p>
    <w:p>
      <w:pPr>
        <w:spacing w:before="0" w:after="180"/>
        <w:ind w:firstLine="0"/>
      </w:pPr>
      <w:r>
        <w:rPr>
          <w:rFonts w:ascii="Georgia" w:cs="Georgia" w:eastAsia="Georgia" w:hAnsi="Georgia"/>
          <w:color w:val="222222"/>
          <w:sz w:val="22"/>
          <w:szCs w:val="22"/>
        </w:rPr>
        <w:t xml:space="preserve">El ilusionismo es la cara visible de la marca. Y es una cara que funciona: genera atención inmediata, produce contenido visualmente atractivo y desencadena la emoción del asombro con una eficiencia que pocos comunicadores logran. Pero en el análisis de percepción, el asombro cumple hoy una función de cierre, cuando su verdadero potencial estratégico es ser un gancho de apertura.</w:t>
      </w:r>
    </w:p>
    <w:p>
      <w:pPr>
        <w:spacing w:before="0" w:after="180"/>
        <w:ind w:firstLine="0"/>
      </w:pPr>
      <w:r>
        <w:rPr>
          <w:rFonts w:ascii="Georgia" w:cs="Georgia" w:eastAsia="Georgia" w:hAnsi="Georgia"/>
          <w:color w:val="222222"/>
          <w:sz w:val="22"/>
          <w:szCs w:val="22"/>
        </w:rPr>
        <w:t xml:space="preserve">Dicho de otro modo: la audiencia sale de una conferencia de Víctor pensando «estuvo increíble, ¿cómo lo habrá hecho?». Esa pregunta es el síntoma de una marca que produce admiración pero no transferencia de valor. La admiración es un estado emocional que no se replica. La transferencia de valor, en cambio, es el mecanismo que convierte a un espectador en un seguidor comprometido, y a un seguidor en un cliente recurrente.</w:t>
      </w:r>
    </w:p>
    <w:p>
      <w:pPr>
        <w:pStyle w:val="Heading2"/>
        <w:spacing w:before="320" w:after="120"/>
      </w:pPr>
      <w:r>
        <w:rPr>
          <w:rFonts w:ascii="Arial" w:cs="Arial" w:eastAsia="Arial" w:hAnsi="Arial"/>
          <w:b/>
          <w:bCs/>
          <w:color w:val="B8912A"/>
          <w:sz w:val="26"/>
          <w:szCs w:val="26"/>
        </w:rPr>
        <w:t xml:space="preserve">El problema del arquetipo mal balanceado</w:t>
      </w:r>
    </w:p>
    <w:p>
      <w:pPr>
        <w:spacing w:before="0" w:after="180"/>
        <w:ind w:firstLine="0"/>
      </w:pPr>
      <w:r>
        <w:rPr>
          <w:rFonts w:ascii="Georgia" w:cs="Georgia" w:eastAsia="Georgia" w:hAnsi="Georgia"/>
          <w:color w:val="222222"/>
          <w:sz w:val="22"/>
          <w:szCs w:val="22"/>
        </w:rPr>
        <w:t xml:space="preserve">En la teoría de arquetipos de marca —heredada de Jung y aplicada con rigor en branding contemporáneo—, Víctor opera principalmente desde el arquetipo del Mago: aquel que conoce lo invisible, domina la percepción y produce transformaciones aparentemente imposibles. Es un arquetipo poderoso, pero que tiene una debilidad estructural cuando se usa en solitario.</w:t>
      </w:r>
    </w:p>
    <w:p>
      <w:pPr>
        <w:spacing w:before="0" w:after="180"/>
        <w:ind w:firstLine="0"/>
      </w:pPr>
      <w:r>
        <w:rPr>
          <w:rFonts w:ascii="Georgia" w:cs="Georgia" w:eastAsia="Georgia" w:hAnsi="Georgia"/>
          <w:color w:val="222222"/>
          <w:sz w:val="22"/>
          <w:szCs w:val="22"/>
        </w:rPr>
        <w:t xml:space="preserve">El Mago genera fascinación, pero no necesariamente confianza replicable. El espectador que presencia un acto de mentalismo queda maravillado, pero también en una posición de asimetría: el Mago sabe algo que él no sabe, y esa brecha es, por definición, insalvable desde el lado del espectador. El asombro, en ese esquema, es una experiencia pasiva.</w:t>
      </w:r>
    </w:p>
    <w:p>
      <w:pPr>
        <w:spacing w:before="0" w:after="180"/>
        <w:ind w:firstLine="0"/>
      </w:pPr>
      <w:r>
        <w:rPr>
          <w:rFonts w:ascii="Georgia" w:cs="Georgia" w:eastAsia="Georgia" w:hAnsi="Georgia"/>
          <w:color w:val="222222"/>
          <w:sz w:val="22"/>
          <w:szCs w:val="22"/>
        </w:rPr>
        <w:t xml:space="preserve">Lo que el libro Mente Imparable introduce de manera natural es un segundo arquetipo: el del Sabio-Guía. Aquel que no solo conoce el camino, sino que entrega el mapa. Que no conserva el secreto para sí, sino que lo convierte en método. Que no produce fascinación, sino empoderamiento. La combinación Mago-Guía es, en el análisis de marcas personales de alta influencia, una de las más poderosas y escasas que existen.</w:t>
      </w:r>
    </w:p>
    <w:p>
      <w:pPr>
        <w:spacing w:before="0" w:after="180"/>
        <w:ind w:firstLine="0"/>
      </w:pPr>
      <w:r>
        <w:rPr>
          <w:rFonts w:ascii="Georgia" w:cs="Georgia" w:eastAsia="Georgia" w:hAnsi="Georgia"/>
          <w:color w:val="222222"/>
          <w:sz w:val="22"/>
          <w:szCs w:val="22"/>
        </w:rPr>
        <w:t xml:space="preserve">La pregunta estratégica que se impone aquí es: ¿por qué una marca que ya posee los ingredientes de esa combinación los mantiene separados en lugar de integrarlos en un solo sistema de comunicación coherente?</w:t>
      </w:r>
    </w:p>
    <w:p>
      <w:pPr>
        <w:spacing w:before="60" w:after="60"/>
      </w:pPr>
      <w:r>
        <w:t xml:space="preserve"/>
      </w:r>
    </w:p>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9260"/>
      </w:tblGrid>
      <w:tr>
        <w:tc>
          <w:tcPr>
            <w:tcW w:type="dxa" w:w="9260"/>
            <w:tcBorders>
              <w:top w:val="single" w:color="B8912A" w:sz="6"/>
              <w:left w:val="single" w:color="B8912A" w:sz="6"/>
              <w:bottom w:val="single" w:color="B8912A" w:sz="6"/>
              <w:right w:val="single" w:color="B8912A" w:sz="6"/>
            </w:tcBorders>
            <w:shd w:fill="F4F6FA" w:val="clear"/>
            <w:tcMar>
              <w:top w:type="dxa" w:w="180"/>
              <w:left w:type="dxa" w:w="240"/>
              <w:bottom w:type="dxa" w:w="180"/>
              <w:right w:type="dxa" w:w="240"/>
            </w:tcMar>
          </w:tcPr>
          <w:p>
            <w:pPr>
              <w:spacing w:before="0" w:after="80"/>
            </w:pPr>
            <w:r>
              <w:rPr>
                <w:rFonts w:ascii="Arial" w:cs="Arial" w:eastAsia="Arial" w:hAnsi="Arial"/>
                <w:b/>
                <w:bCs/>
                <w:color w:val="1B2D5B"/>
                <w:sz w:val="20"/>
                <w:szCs w:val="20"/>
              </w:rPr>
              <w:t xml:space="preserve">Conclusión del autor — Sección I</w:t>
            </w:r>
          </w:p>
          <w:p>
            <w:pPr>
              <w:spacing w:before="0" w:after="0"/>
            </w:pPr>
            <w:r>
              <w:rPr>
                <w:rFonts w:ascii="Georgia" w:cs="Georgia" w:eastAsia="Georgia" w:hAnsi="Georgia"/>
                <w:color w:val="222222"/>
                <w:sz w:val="22"/>
                <w:szCs w:val="22"/>
              </w:rPr>
              <w:t xml:space="preserve">El ADN actual de Víctor Castañeda es sólido en credibilidad y reconocimiento, pero fragmentado en su arquitectura narrativa. El ilusionismo y el libro Mente Imparable coexisten sin que uno potencie al otro. Eso no es una falla de talento; es una oportunidad de diseño estratégico que, una vez resuelta, generará un salto cualitativo en la percepción de marca que ninguna campaña de contenido por sí sola podría producir.</w:t>
            </w:r>
          </w:p>
        </w:tc>
      </w:tr>
    </w:tbl>
    <w:p>
      <w:r>
        <w:r>
          <w:br w:type="page"/>
        </w:r>
      </w:r>
    </w:p>
    <w:p>
      <w:pPr>
        <w:pStyle w:val="Heading1"/>
        <w:pBdr>
          <w:bottom w:val="single" w:color="1B2D5B" w:sz="6" w:space="6"/>
        </w:pBdr>
        <w:spacing w:before="440" w:after="200"/>
      </w:pPr>
      <w:r>
        <w:rPr>
          <w:rFonts w:ascii="Arial" w:cs="Arial" w:eastAsia="Arial" w:hAnsi="Arial"/>
          <w:b/>
          <w:bCs/>
          <w:color w:val="1B2D5B"/>
          <w:sz w:val="34"/>
          <w:szCs w:val="34"/>
        </w:rPr>
        <w:t xml:space="preserve">II. Análisis comparativo: ADN actual vs. ADN propuesto</w:t>
      </w:r>
    </w:p>
    <w:p>
      <w:pPr>
        <w:spacing w:before="0" w:after="180"/>
        <w:ind w:firstLine="0"/>
      </w:pPr>
      <w:r>
        <w:rPr>
          <w:rFonts w:ascii="Georgia" w:cs="Georgia" w:eastAsia="Georgia" w:hAnsi="Georgia"/>
          <w:color w:val="222222"/>
          <w:sz w:val="22"/>
          <w:szCs w:val="22"/>
        </w:rPr>
        <w:t xml:space="preserve">El análisis que sigue no pretende demoler lo construido. Todo lo contrario: parte del reconocimiento de que Víctor ha edificado una base de marca excepcional. Lo que propone es una reconfiguración de la arquitectura narrativa, no una sustitución. La diferencia entre ambos estados puede leerse, en términos de branding, como la diferencia entre un edificio con buenos cimientos que necesita rediseñar su fachada y sus espacios interiores para reflejar lo que realmente ocurre dentro de él.</w:t>
      </w:r>
    </w:p>
    <w:p>
      <w:pPr>
        <w:spacing w:before="0" w:after="180"/>
        <w:ind w:firstLine="0"/>
      </w:pPr>
      <w:r>
        <w:rPr>
          <w:rFonts w:ascii="Georgia" w:cs="Georgia" w:eastAsia="Georgia" w:hAnsi="Georgia"/>
          <w:color w:val="222222"/>
          <w:sz w:val="22"/>
          <w:szCs w:val="22"/>
        </w:rPr>
        <w:t xml:space="preserve">La tabla comparativa que se presenta a continuación analiza ocho dimensiones críticas del ADN de marca. Para cada una, el ADN actual describe el estado percibido —no el estado declarado— de la marca. El ADN propuesto describe la reconfiguración que el libro Mente Imparable hace posible y necesaria.</w:t>
      </w:r>
    </w:p>
    <w:p>
      <w:pPr>
        <w:spacing w:before="120" w:after="60"/>
      </w:pPr>
      <w:r>
        <w:t xml:space="preserve"/>
      </w:r>
    </w:p>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1700"/>
        <w:gridCol w:w="3700"/>
        <w:gridCol w:w="3860"/>
      </w:tblGrid>
      <w:tr>
        <w:trPr>
          <w:tblHeader/>
        </w:trPr>
        <w:tc>
          <w:tcPr>
            <w:tcW w:type="dxa" w:w="1700"/>
            <w:tcBorders>
              <w:top w:val="single" w:color="1B2D5B" w:sz="4"/>
              <w:left w:val="single" w:color="1B2D5B" w:sz="4"/>
              <w:bottom w:val="single" w:color="1B2D5B" w:sz="4"/>
              <w:right w:val="single" w:color="1B2D5B" w:sz="4"/>
            </w:tcBorders>
            <w:shd w:fill="1B2D5B" w:val="clear"/>
            <w:tcMar>
              <w:top w:type="dxa" w:w="120"/>
              <w:left w:type="dxa" w:w="160"/>
              <w:bottom w:type="dxa" w:w="120"/>
              <w:right w:type="dxa" w:w="160"/>
            </w:tcMar>
          </w:tcPr>
          <w:p>
            <w:pPr>
              <w:spacing w:before="0" w:after="0"/>
            </w:pPr>
            <w:r>
              <w:rPr>
                <w:rFonts w:ascii="Arial" w:cs="Arial" w:eastAsia="Arial" w:hAnsi="Arial"/>
                <w:b/>
                <w:bCs/>
                <w:color w:val="FFFFFF"/>
                <w:sz w:val="20"/>
                <w:szCs w:val="20"/>
              </w:rPr>
              <w:t xml:space="preserve">Dimensión</w:t>
            </w:r>
          </w:p>
        </w:tc>
        <w:tc>
          <w:tcPr>
            <w:tcW w:type="dxa" w:w="3700"/>
            <w:tcBorders>
              <w:top w:val="single" w:color="1B2D5B" w:sz="4"/>
              <w:left w:val="single" w:color="1B2D5B" w:sz="4"/>
              <w:bottom w:val="single" w:color="1B2D5B" w:sz="4"/>
              <w:right w:val="single" w:color="1B2D5B" w:sz="4"/>
            </w:tcBorders>
            <w:shd w:fill="4A5568" w:val="clear"/>
            <w:tcMar>
              <w:top w:type="dxa" w:w="120"/>
              <w:left w:type="dxa" w:w="160"/>
              <w:bottom w:type="dxa" w:w="120"/>
              <w:right w:type="dxa" w:w="160"/>
            </w:tcMar>
          </w:tcPr>
          <w:p>
            <w:pPr>
              <w:spacing w:before="0" w:after="0"/>
            </w:pPr>
            <w:r>
              <w:rPr>
                <w:rFonts w:ascii="Arial" w:cs="Arial" w:eastAsia="Arial" w:hAnsi="Arial"/>
                <w:b/>
                <w:bCs/>
                <w:color w:val="FFFFFF"/>
                <w:sz w:val="20"/>
                <w:szCs w:val="20"/>
              </w:rPr>
              <w:t xml:space="preserve">ADN actual</w:t>
            </w:r>
          </w:p>
        </w:tc>
        <w:tc>
          <w:tcPr>
            <w:tcW w:type="dxa" w:w="3860"/>
            <w:tcBorders>
              <w:top w:val="single" w:color="1B2D5B" w:sz="4"/>
              <w:left w:val="single" w:color="1B2D5B" w:sz="4"/>
              <w:bottom w:val="single" w:color="1B2D5B" w:sz="4"/>
              <w:right w:val="single" w:color="1B2D5B" w:sz="4"/>
            </w:tcBorders>
            <w:shd w:fill="B8912A" w:val="clear"/>
            <w:tcMar>
              <w:top w:type="dxa" w:w="120"/>
              <w:left w:type="dxa" w:w="160"/>
              <w:bottom w:type="dxa" w:w="120"/>
              <w:right w:type="dxa" w:w="160"/>
            </w:tcMar>
          </w:tcPr>
          <w:p>
            <w:pPr>
              <w:spacing w:before="0" w:after="0"/>
            </w:pPr>
            <w:r>
              <w:rPr>
                <w:rFonts w:ascii="Arial" w:cs="Arial" w:eastAsia="Arial" w:hAnsi="Arial"/>
                <w:b/>
                <w:bCs/>
                <w:color w:val="FFFFFF"/>
                <w:sz w:val="20"/>
                <w:szCs w:val="20"/>
              </w:rPr>
              <w:t xml:space="preserve">ADN propuesto — Mente Imparable</w:t>
            </w:r>
          </w:p>
        </w:tc>
      </w:tr>
      <w:tr>
        <w:tc>
          <w:tcPr>
            <w:tcW w:type="dxa" w:w="1700"/>
            <w:tcBorders>
              <w:top w:val="single" w:color="C8D0E0" w:sz="4"/>
              <w:left w:val="single" w:color="C8D0E0" w:sz="4"/>
              <w:bottom w:val="single" w:color="C8D0E0" w:sz="4"/>
              <w:right w:val="single" w:color="C8D0E0" w:sz="4"/>
            </w:tcBorders>
            <w:shd w:fill="EEF0F6" w:val="clear"/>
            <w:tcMar>
              <w:top w:type="dxa" w:w="120"/>
              <w:left w:type="dxa" w:w="160"/>
              <w:bottom w:type="dxa" w:w="120"/>
              <w:right w:type="dxa" w:w="160"/>
            </w:tcMar>
          </w:tcPr>
          <w:p>
            <w:pPr>
              <w:spacing w:before="0" w:after="0"/>
            </w:pPr>
            <w:r>
              <w:rPr>
                <w:rFonts w:ascii="Arial" w:cs="Arial" w:eastAsia="Arial" w:hAnsi="Arial"/>
                <w:b/>
                <w:bCs/>
                <w:color w:val="1B2D5B"/>
                <w:sz w:val="20"/>
                <w:szCs w:val="20"/>
              </w:rPr>
              <w:t xml:space="preserve">Identidad central</w:t>
            </w:r>
          </w:p>
        </w:tc>
        <w:tc>
          <w:tcPr>
            <w:tcW w:type="dxa" w:w="3700"/>
            <w:tcBorders>
              <w:top w:val="single" w:color="D0D7E5" w:sz="4"/>
              <w:left w:val="single" w:color="D0D7E5" w:sz="4"/>
              <w:bottom w:val="single" w:color="D0D7E5" w:sz="4"/>
              <w:right w:val="single" w:color="D0D7E5" w:sz="4"/>
            </w:tcBorders>
            <w:shd w:fill="FFFFFF" w:val="clear"/>
            <w:tcMar>
              <w:top w:type="dxa" w:w="120"/>
              <w:left w:type="dxa" w:w="160"/>
              <w:bottom w:type="dxa" w:w="120"/>
              <w:right w:type="dxa" w:w="160"/>
            </w:tcMar>
          </w:tcPr>
          <w:p>
            <w:pPr>
              <w:spacing w:before="0" w:after="0"/>
            </w:pPr>
            <w:r>
              <w:rPr>
                <w:rFonts w:ascii="Georgia" w:cs="Georgia" w:eastAsia="Georgia" w:hAnsi="Georgia"/>
                <w:i/>
                <w:iCs/>
                <w:color w:val="444444"/>
                <w:sz w:val="20"/>
                <w:szCs w:val="20"/>
              </w:rPr>
              <w:t xml:space="preserve">Mentalista y Speaker que usa el asombro como herramienta de comunicación corporativa.</w:t>
            </w:r>
          </w:p>
        </w:tc>
        <w:tc>
          <w:tcPr>
            <w:tcW w:type="dxa" w:w="3860"/>
            <w:tcBorders>
              <w:top w:val="single" w:color="A0B8D8" w:sz="4"/>
              <w:left w:val="single" w:color="A0B8D8" w:sz="4"/>
              <w:bottom w:val="single" w:color="A0B8D8" w:sz="4"/>
              <w:right w:val="single" w:color="A0B8D8" w:sz="4"/>
            </w:tcBorders>
            <w:shd w:fill="EEF3FA" w:val="clear"/>
            <w:tcMar>
              <w:top w:type="dxa" w:w="120"/>
              <w:left w:type="dxa" w:w="160"/>
              <w:bottom w:type="dxa" w:w="120"/>
              <w:right w:type="dxa" w:w="160"/>
            </w:tcMar>
          </w:tcPr>
          <w:p>
            <w:pPr>
              <w:spacing w:before="0" w:after="0"/>
            </w:pPr>
            <w:r>
              <w:rPr>
                <w:rFonts w:ascii="Georgia" w:cs="Georgia" w:eastAsia="Georgia" w:hAnsi="Georgia"/>
                <w:color w:val="1B2D5B"/>
                <w:sz w:val="20"/>
                <w:szCs w:val="20"/>
              </w:rPr>
              <w:t xml:space="preserve">Arquitecto de mentalidades imparables. Usa el asombro para demostrar en vivo que los límites son una construcción mental.</w:t>
            </w:r>
          </w:p>
        </w:tc>
      </w:tr>
      <w:tr>
        <w:tc>
          <w:tcPr>
            <w:tcW w:type="dxa" w:w="1700"/>
            <w:tcBorders>
              <w:top w:val="single" w:color="C8D0E0" w:sz="4"/>
              <w:left w:val="single" w:color="C8D0E0" w:sz="4"/>
              <w:bottom w:val="single" w:color="C8D0E0" w:sz="4"/>
              <w:right w:val="single" w:color="C8D0E0" w:sz="4"/>
            </w:tcBorders>
            <w:shd w:fill="EEF0F6" w:val="clear"/>
            <w:tcMar>
              <w:top w:type="dxa" w:w="120"/>
              <w:left w:type="dxa" w:w="160"/>
              <w:bottom w:type="dxa" w:w="120"/>
              <w:right w:type="dxa" w:w="160"/>
            </w:tcMar>
          </w:tcPr>
          <w:p>
            <w:pPr>
              <w:spacing w:before="0" w:after="0"/>
            </w:pPr>
            <w:r>
              <w:rPr>
                <w:rFonts w:ascii="Arial" w:cs="Arial" w:eastAsia="Arial" w:hAnsi="Arial"/>
                <w:b/>
                <w:bCs/>
                <w:color w:val="1B2D5B"/>
                <w:sz w:val="20"/>
                <w:szCs w:val="20"/>
              </w:rPr>
              <w:t xml:space="preserve">Promesa de marca</w:t>
            </w:r>
          </w:p>
        </w:tc>
        <w:tc>
          <w:tcPr>
            <w:tcW w:type="dxa" w:w="3700"/>
            <w:tcBorders>
              <w:top w:val="single" w:color="D0D7E5" w:sz="4"/>
              <w:left w:val="single" w:color="D0D7E5" w:sz="4"/>
              <w:bottom w:val="single" w:color="D0D7E5" w:sz="4"/>
              <w:right w:val="single" w:color="D0D7E5" w:sz="4"/>
            </w:tcBorders>
            <w:shd w:fill="FFFFFF" w:val="clear"/>
            <w:tcMar>
              <w:top w:type="dxa" w:w="120"/>
              <w:left w:type="dxa" w:w="160"/>
              <w:bottom w:type="dxa" w:w="120"/>
              <w:right w:type="dxa" w:w="160"/>
            </w:tcMar>
          </w:tcPr>
          <w:p>
            <w:pPr>
              <w:spacing w:before="0" w:after="0"/>
            </w:pPr>
            <w:r>
              <w:rPr>
                <w:rFonts w:ascii="Georgia" w:cs="Georgia" w:eastAsia="Georgia" w:hAnsi="Georgia"/>
                <w:i/>
                <w:iCs/>
                <w:color w:val="444444"/>
                <w:sz w:val="20"/>
                <w:szCs w:val="20"/>
              </w:rPr>
              <w:t xml:space="preserve">'Transformo mentes y negocios con asombro.' El asombro es el sustantivo.</w:t>
            </w:r>
          </w:p>
        </w:tc>
        <w:tc>
          <w:tcPr>
            <w:tcW w:type="dxa" w:w="3860"/>
            <w:tcBorders>
              <w:top w:val="single" w:color="A0B8D8" w:sz="4"/>
              <w:left w:val="single" w:color="A0B8D8" w:sz="4"/>
              <w:bottom w:val="single" w:color="A0B8D8" w:sz="4"/>
              <w:right w:val="single" w:color="A0B8D8" w:sz="4"/>
            </w:tcBorders>
            <w:shd w:fill="EEF3FA" w:val="clear"/>
            <w:tcMar>
              <w:top w:type="dxa" w:w="120"/>
              <w:left w:type="dxa" w:w="160"/>
              <w:bottom w:type="dxa" w:w="120"/>
              <w:right w:type="dxa" w:w="160"/>
            </w:tcMar>
          </w:tcPr>
          <w:p>
            <w:pPr>
              <w:spacing w:before="0" w:after="0"/>
            </w:pPr>
            <w:r>
              <w:rPr>
                <w:rFonts w:ascii="Georgia" w:cs="Georgia" w:eastAsia="Georgia" w:hAnsi="Georgia"/>
                <w:color w:val="1B2D5B"/>
                <w:sz w:val="20"/>
                <w:szCs w:val="20"/>
              </w:rPr>
              <w:t xml:space="preserve">'Te demuestro en vivo que lo imposible solo vive en tu cabeza. Luego te doy el sistema para probártelo.' El asombro es el verbo.</w:t>
            </w:r>
          </w:p>
        </w:tc>
      </w:tr>
      <w:tr>
        <w:tc>
          <w:tcPr>
            <w:tcW w:type="dxa" w:w="1700"/>
            <w:tcBorders>
              <w:top w:val="single" w:color="C8D0E0" w:sz="4"/>
              <w:left w:val="single" w:color="C8D0E0" w:sz="4"/>
              <w:bottom w:val="single" w:color="C8D0E0" w:sz="4"/>
              <w:right w:val="single" w:color="C8D0E0" w:sz="4"/>
            </w:tcBorders>
            <w:shd w:fill="EEF0F6" w:val="clear"/>
            <w:tcMar>
              <w:top w:type="dxa" w:w="120"/>
              <w:left w:type="dxa" w:w="160"/>
              <w:bottom w:type="dxa" w:w="120"/>
              <w:right w:type="dxa" w:w="160"/>
            </w:tcMar>
          </w:tcPr>
          <w:p>
            <w:pPr>
              <w:spacing w:before="0" w:after="0"/>
            </w:pPr>
            <w:r>
              <w:rPr>
                <w:rFonts w:ascii="Arial" w:cs="Arial" w:eastAsia="Arial" w:hAnsi="Arial"/>
                <w:b/>
                <w:bCs/>
                <w:color w:val="1B2D5B"/>
                <w:sz w:val="20"/>
                <w:szCs w:val="20"/>
              </w:rPr>
              <w:t xml:space="preserve">Rol del ilusionismo</w:t>
            </w:r>
          </w:p>
        </w:tc>
        <w:tc>
          <w:tcPr>
            <w:tcW w:type="dxa" w:w="3700"/>
            <w:tcBorders>
              <w:top w:val="single" w:color="D0D7E5" w:sz="4"/>
              <w:left w:val="single" w:color="D0D7E5" w:sz="4"/>
              <w:bottom w:val="single" w:color="D0D7E5" w:sz="4"/>
              <w:right w:val="single" w:color="D0D7E5" w:sz="4"/>
            </w:tcBorders>
            <w:shd w:fill="FFFFFF" w:val="clear"/>
            <w:tcMar>
              <w:top w:type="dxa" w:w="120"/>
              <w:left w:type="dxa" w:w="160"/>
              <w:bottom w:type="dxa" w:w="120"/>
              <w:right w:type="dxa" w:w="160"/>
            </w:tcMar>
          </w:tcPr>
          <w:p>
            <w:pPr>
              <w:spacing w:before="0" w:after="0"/>
            </w:pPr>
            <w:r>
              <w:rPr>
                <w:rFonts w:ascii="Georgia" w:cs="Georgia" w:eastAsia="Georgia" w:hAnsi="Georgia"/>
                <w:i/>
                <w:iCs/>
                <w:color w:val="444444"/>
                <w:sz w:val="20"/>
                <w:szCs w:val="20"/>
              </w:rPr>
              <w:t xml:space="preserve">Producto principal. El truco es el fin y el asombro es el cierre de la experiencia.</w:t>
            </w:r>
          </w:p>
        </w:tc>
        <w:tc>
          <w:tcPr>
            <w:tcW w:type="dxa" w:w="3860"/>
            <w:tcBorders>
              <w:top w:val="single" w:color="A0B8D8" w:sz="4"/>
              <w:left w:val="single" w:color="A0B8D8" w:sz="4"/>
              <w:bottom w:val="single" w:color="A0B8D8" w:sz="4"/>
              <w:right w:val="single" w:color="A0B8D8" w:sz="4"/>
            </w:tcBorders>
            <w:shd w:fill="EEF3FA" w:val="clear"/>
            <w:tcMar>
              <w:top w:type="dxa" w:w="120"/>
              <w:left w:type="dxa" w:w="160"/>
              <w:bottom w:type="dxa" w:w="120"/>
              <w:right w:type="dxa" w:w="160"/>
            </w:tcMar>
          </w:tcPr>
          <w:p>
            <w:pPr>
              <w:spacing w:before="0" w:after="0"/>
            </w:pPr>
            <w:r>
              <w:rPr>
                <w:rFonts w:ascii="Georgia" w:cs="Georgia" w:eastAsia="Georgia" w:hAnsi="Georgia"/>
                <w:color w:val="1B2D5B"/>
                <w:sz w:val="20"/>
                <w:szCs w:val="20"/>
              </w:rPr>
              <w:t xml:space="preserve">Vehículo de demostración. El truco es el gancho; la filosofía Mente Imparable es el cierre con impacto transferible.</w:t>
            </w:r>
          </w:p>
        </w:tc>
      </w:tr>
      <w:tr>
        <w:tc>
          <w:tcPr>
            <w:tcW w:type="dxa" w:w="1700"/>
            <w:tcBorders>
              <w:top w:val="single" w:color="C8D0E0" w:sz="4"/>
              <w:left w:val="single" w:color="C8D0E0" w:sz="4"/>
              <w:bottom w:val="single" w:color="C8D0E0" w:sz="4"/>
              <w:right w:val="single" w:color="C8D0E0" w:sz="4"/>
            </w:tcBorders>
            <w:shd w:fill="EEF0F6" w:val="clear"/>
            <w:tcMar>
              <w:top w:type="dxa" w:w="120"/>
              <w:left w:type="dxa" w:w="160"/>
              <w:bottom w:type="dxa" w:w="120"/>
              <w:right w:type="dxa" w:w="160"/>
            </w:tcMar>
          </w:tcPr>
          <w:p>
            <w:pPr>
              <w:spacing w:before="0" w:after="0"/>
            </w:pPr>
            <w:r>
              <w:rPr>
                <w:rFonts w:ascii="Arial" w:cs="Arial" w:eastAsia="Arial" w:hAnsi="Arial"/>
                <w:b/>
                <w:bCs/>
                <w:color w:val="1B2D5B"/>
                <w:sz w:val="20"/>
                <w:szCs w:val="20"/>
              </w:rPr>
              <w:t xml:space="preserve">Contenido ancla</w:t>
            </w:r>
          </w:p>
        </w:tc>
        <w:tc>
          <w:tcPr>
            <w:tcW w:type="dxa" w:w="3700"/>
            <w:tcBorders>
              <w:top w:val="single" w:color="D0D7E5" w:sz="4"/>
              <w:left w:val="single" w:color="D0D7E5" w:sz="4"/>
              <w:bottom w:val="single" w:color="D0D7E5" w:sz="4"/>
              <w:right w:val="single" w:color="D0D7E5" w:sz="4"/>
            </w:tcBorders>
            <w:shd w:fill="FFFFFF" w:val="clear"/>
            <w:tcMar>
              <w:top w:type="dxa" w:w="120"/>
              <w:left w:type="dxa" w:w="160"/>
              <w:bottom w:type="dxa" w:w="120"/>
              <w:right w:type="dxa" w:w="160"/>
            </w:tcMar>
          </w:tcPr>
          <w:p>
            <w:pPr>
              <w:spacing w:before="0" w:after="0"/>
            </w:pPr>
            <w:r>
              <w:rPr>
                <w:rFonts w:ascii="Georgia" w:cs="Georgia" w:eastAsia="Georgia" w:hAnsi="Georgia"/>
                <w:i/>
                <w:iCs/>
                <w:color w:val="444444"/>
                <w:sz w:val="20"/>
                <w:szCs w:val="20"/>
              </w:rPr>
              <w:t xml:space="preserve">Reels de lectura de mente con explicación psicológica puntual. Cada pieza es autocontenida y no acumula hacia un sistema.</w:t>
            </w:r>
          </w:p>
        </w:tc>
        <w:tc>
          <w:tcPr>
            <w:tcW w:type="dxa" w:w="3860"/>
            <w:tcBorders>
              <w:top w:val="single" w:color="A0B8D8" w:sz="4"/>
              <w:left w:val="single" w:color="A0B8D8" w:sz="4"/>
              <w:bottom w:val="single" w:color="A0B8D8" w:sz="4"/>
              <w:right w:val="single" w:color="A0B8D8" w:sz="4"/>
            </w:tcBorders>
            <w:shd w:fill="EEF3FA" w:val="clear"/>
            <w:tcMar>
              <w:top w:type="dxa" w:w="120"/>
              <w:left w:type="dxa" w:w="160"/>
              <w:bottom w:type="dxa" w:w="120"/>
              <w:right w:type="dxa" w:w="160"/>
            </w:tcMar>
          </w:tcPr>
          <w:p>
            <w:pPr>
              <w:spacing w:before="0" w:after="0"/>
            </w:pPr>
            <w:r>
              <w:rPr>
                <w:rFonts w:ascii="Georgia" w:cs="Georgia" w:eastAsia="Georgia" w:hAnsi="Georgia"/>
                <w:color w:val="1B2D5B"/>
                <w:sz w:val="20"/>
                <w:szCs w:val="20"/>
              </w:rPr>
              <w:t xml:space="preserve">Reels de mentalismo que referencian las 5 dimensiones de Mente Imparable. Cada pieza construye el mismo universo narrativo.</w:t>
            </w:r>
          </w:p>
        </w:tc>
      </w:tr>
      <w:tr>
        <w:tc>
          <w:tcPr>
            <w:tcW w:type="dxa" w:w="1700"/>
            <w:tcBorders>
              <w:top w:val="single" w:color="C8D0E0" w:sz="4"/>
              <w:left w:val="single" w:color="C8D0E0" w:sz="4"/>
              <w:bottom w:val="single" w:color="C8D0E0" w:sz="4"/>
              <w:right w:val="single" w:color="C8D0E0" w:sz="4"/>
            </w:tcBorders>
            <w:shd w:fill="EEF0F6" w:val="clear"/>
            <w:tcMar>
              <w:top w:type="dxa" w:w="120"/>
              <w:left w:type="dxa" w:w="160"/>
              <w:bottom w:type="dxa" w:w="120"/>
              <w:right w:type="dxa" w:w="160"/>
            </w:tcMar>
          </w:tcPr>
          <w:p>
            <w:pPr>
              <w:spacing w:before="0" w:after="0"/>
            </w:pPr>
            <w:r>
              <w:rPr>
                <w:rFonts w:ascii="Arial" w:cs="Arial" w:eastAsia="Arial" w:hAnsi="Arial"/>
                <w:b/>
                <w:bCs/>
                <w:color w:val="1B2D5B"/>
                <w:sz w:val="20"/>
                <w:szCs w:val="20"/>
              </w:rPr>
              <w:t xml:space="preserve">Arquetipo dominante</w:t>
            </w:r>
          </w:p>
        </w:tc>
        <w:tc>
          <w:tcPr>
            <w:tcW w:type="dxa" w:w="3700"/>
            <w:tcBorders>
              <w:top w:val="single" w:color="D0D7E5" w:sz="4"/>
              <w:left w:val="single" w:color="D0D7E5" w:sz="4"/>
              <w:bottom w:val="single" w:color="D0D7E5" w:sz="4"/>
              <w:right w:val="single" w:color="D0D7E5" w:sz="4"/>
            </w:tcBorders>
            <w:shd w:fill="FFFFFF" w:val="clear"/>
            <w:tcMar>
              <w:top w:type="dxa" w:w="120"/>
              <w:left w:type="dxa" w:w="160"/>
              <w:bottom w:type="dxa" w:w="120"/>
              <w:right w:type="dxa" w:w="160"/>
            </w:tcMar>
          </w:tcPr>
          <w:p>
            <w:pPr>
              <w:spacing w:before="0" w:after="0"/>
            </w:pPr>
            <w:r>
              <w:rPr>
                <w:rFonts w:ascii="Georgia" w:cs="Georgia" w:eastAsia="Georgia" w:hAnsi="Georgia"/>
                <w:i/>
                <w:iCs/>
                <w:color w:val="444444"/>
                <w:sz w:val="20"/>
                <w:szCs w:val="20"/>
              </w:rPr>
              <w:t xml:space="preserve">Mago–Sabio. Domina lo invisible y genera fascinación asimétrica.</w:t>
            </w:r>
          </w:p>
        </w:tc>
        <w:tc>
          <w:tcPr>
            <w:tcW w:type="dxa" w:w="3860"/>
            <w:tcBorders>
              <w:top w:val="single" w:color="A0B8D8" w:sz="4"/>
              <w:left w:val="single" w:color="A0B8D8" w:sz="4"/>
              <w:bottom w:val="single" w:color="A0B8D8" w:sz="4"/>
              <w:right w:val="single" w:color="A0B8D8" w:sz="4"/>
            </w:tcBorders>
            <w:shd w:fill="EEF3FA" w:val="clear"/>
            <w:tcMar>
              <w:top w:type="dxa" w:w="120"/>
              <w:left w:type="dxa" w:w="160"/>
              <w:bottom w:type="dxa" w:w="120"/>
              <w:right w:type="dxa" w:w="160"/>
            </w:tcMar>
          </w:tcPr>
          <w:p>
            <w:pPr>
              <w:spacing w:before="0" w:after="0"/>
            </w:pPr>
            <w:r>
              <w:rPr>
                <w:rFonts w:ascii="Georgia" w:cs="Georgia" w:eastAsia="Georgia" w:hAnsi="Georgia"/>
                <w:color w:val="1B2D5B"/>
                <w:sz w:val="20"/>
                <w:szCs w:val="20"/>
              </w:rPr>
              <w:t xml:space="preserve">Mago–Sabio–Guía. No solo domina lo invisible: entrega el mapa para que el otro también pueda navegarlo.</w:t>
            </w:r>
          </w:p>
        </w:tc>
      </w:tr>
      <w:tr>
        <w:tc>
          <w:tcPr>
            <w:tcW w:type="dxa" w:w="1700"/>
            <w:tcBorders>
              <w:top w:val="single" w:color="C8D0E0" w:sz="4"/>
              <w:left w:val="single" w:color="C8D0E0" w:sz="4"/>
              <w:bottom w:val="single" w:color="C8D0E0" w:sz="4"/>
              <w:right w:val="single" w:color="C8D0E0" w:sz="4"/>
            </w:tcBorders>
            <w:shd w:fill="EEF0F6" w:val="clear"/>
            <w:tcMar>
              <w:top w:type="dxa" w:w="120"/>
              <w:left w:type="dxa" w:w="160"/>
              <w:bottom w:type="dxa" w:w="120"/>
              <w:right w:type="dxa" w:w="160"/>
            </w:tcMar>
          </w:tcPr>
          <w:p>
            <w:pPr>
              <w:spacing w:before="0" w:after="0"/>
            </w:pPr>
            <w:r>
              <w:rPr>
                <w:rFonts w:ascii="Arial" w:cs="Arial" w:eastAsia="Arial" w:hAnsi="Arial"/>
                <w:b/>
                <w:bCs/>
                <w:color w:val="1B2D5B"/>
                <w:sz w:val="20"/>
                <w:szCs w:val="20"/>
              </w:rPr>
              <w:t xml:space="preserve">Audiencia objetivo</w:t>
            </w:r>
          </w:p>
        </w:tc>
        <w:tc>
          <w:tcPr>
            <w:tcW w:type="dxa" w:w="3700"/>
            <w:tcBorders>
              <w:top w:val="single" w:color="D0D7E5" w:sz="4"/>
              <w:left w:val="single" w:color="D0D7E5" w:sz="4"/>
              <w:bottom w:val="single" w:color="D0D7E5" w:sz="4"/>
              <w:right w:val="single" w:color="D0D7E5" w:sz="4"/>
            </w:tcBorders>
            <w:shd w:fill="FFFFFF" w:val="clear"/>
            <w:tcMar>
              <w:top w:type="dxa" w:w="120"/>
              <w:left w:type="dxa" w:w="160"/>
              <w:bottom w:type="dxa" w:w="120"/>
              <w:right w:type="dxa" w:w="160"/>
            </w:tcMar>
          </w:tcPr>
          <w:p>
            <w:pPr>
              <w:spacing w:before="0" w:after="0"/>
            </w:pPr>
            <w:r>
              <w:rPr>
                <w:rFonts w:ascii="Georgia" w:cs="Georgia" w:eastAsia="Georgia" w:hAnsi="Georgia"/>
                <w:i/>
                <w:iCs/>
                <w:color w:val="444444"/>
                <w:sz w:val="20"/>
                <w:szCs w:val="20"/>
              </w:rPr>
              <w:t xml:space="preserve">Empresas y corporativos que buscan una experiencia memorable en sus eventos.</w:t>
            </w:r>
          </w:p>
        </w:tc>
        <w:tc>
          <w:tcPr>
            <w:tcW w:type="dxa" w:w="3860"/>
            <w:tcBorders>
              <w:top w:val="single" w:color="A0B8D8" w:sz="4"/>
              <w:left w:val="single" w:color="A0B8D8" w:sz="4"/>
              <w:bottom w:val="single" w:color="A0B8D8" w:sz="4"/>
              <w:right w:val="single" w:color="A0B8D8" w:sz="4"/>
            </w:tcBorders>
            <w:shd w:fill="EEF3FA" w:val="clear"/>
            <w:tcMar>
              <w:top w:type="dxa" w:w="120"/>
              <w:left w:type="dxa" w:w="160"/>
              <w:bottom w:type="dxa" w:w="120"/>
              <w:right w:type="dxa" w:w="160"/>
            </w:tcMar>
          </w:tcPr>
          <w:p>
            <w:pPr>
              <w:spacing w:before="0" w:after="0"/>
            </w:pPr>
            <w:r>
              <w:rPr>
                <w:rFonts w:ascii="Georgia" w:cs="Georgia" w:eastAsia="Georgia" w:hAnsi="Georgia"/>
                <w:color w:val="1B2D5B"/>
                <w:sz w:val="20"/>
                <w:szCs w:val="20"/>
              </w:rPr>
              <w:t xml:space="preserve">Personas y organizaciones que quieren resultados distintos y necesitan cambiar cómo piensan para lograrlo.</w:t>
            </w:r>
          </w:p>
        </w:tc>
      </w:tr>
      <w:tr>
        <w:tc>
          <w:tcPr>
            <w:tcW w:type="dxa" w:w="1700"/>
            <w:tcBorders>
              <w:top w:val="single" w:color="C8D0E0" w:sz="4"/>
              <w:left w:val="single" w:color="C8D0E0" w:sz="4"/>
              <w:bottom w:val="single" w:color="C8D0E0" w:sz="4"/>
              <w:right w:val="single" w:color="C8D0E0" w:sz="4"/>
            </w:tcBorders>
            <w:shd w:fill="EEF0F6" w:val="clear"/>
            <w:tcMar>
              <w:top w:type="dxa" w:w="120"/>
              <w:left w:type="dxa" w:w="160"/>
              <w:bottom w:type="dxa" w:w="120"/>
              <w:right w:type="dxa" w:w="160"/>
            </w:tcMar>
          </w:tcPr>
          <w:p>
            <w:pPr>
              <w:spacing w:before="0" w:after="0"/>
            </w:pPr>
            <w:r>
              <w:rPr>
                <w:rFonts w:ascii="Arial" w:cs="Arial" w:eastAsia="Arial" w:hAnsi="Arial"/>
                <w:b/>
                <w:bCs/>
                <w:color w:val="1B2D5B"/>
                <w:sz w:val="20"/>
                <w:szCs w:val="20"/>
              </w:rPr>
              <w:t xml:space="preserve">Método propio</w:t>
            </w:r>
          </w:p>
        </w:tc>
        <w:tc>
          <w:tcPr>
            <w:tcW w:type="dxa" w:w="3700"/>
            <w:tcBorders>
              <w:top w:val="single" w:color="D0D7E5" w:sz="4"/>
              <w:left w:val="single" w:color="D0D7E5" w:sz="4"/>
              <w:bottom w:val="single" w:color="D0D7E5" w:sz="4"/>
              <w:right w:val="single" w:color="D0D7E5" w:sz="4"/>
            </w:tcBorders>
            <w:shd w:fill="FFFFFF" w:val="clear"/>
            <w:tcMar>
              <w:top w:type="dxa" w:w="120"/>
              <w:left w:type="dxa" w:w="160"/>
              <w:bottom w:type="dxa" w:w="120"/>
              <w:right w:type="dxa" w:w="160"/>
            </w:tcMar>
          </w:tcPr>
          <w:p>
            <w:pPr>
              <w:spacing w:before="0" w:after="0"/>
            </w:pPr>
            <w:r>
              <w:rPr>
                <w:rFonts w:ascii="Georgia" w:cs="Georgia" w:eastAsia="Georgia" w:hAnsi="Georgia"/>
                <w:i/>
                <w:iCs/>
                <w:color w:val="444444"/>
                <w:sz w:val="20"/>
                <w:szCs w:val="20"/>
              </w:rPr>
              <w:t xml:space="preserve">Implícito. Presente en el estilo pero sin nombre, estructura ni IP de marca pública.</w:t>
            </w:r>
          </w:p>
        </w:tc>
        <w:tc>
          <w:tcPr>
            <w:tcW w:type="dxa" w:w="3860"/>
            <w:tcBorders>
              <w:top w:val="single" w:color="A0B8D8" w:sz="4"/>
              <w:left w:val="single" w:color="A0B8D8" w:sz="4"/>
              <w:bottom w:val="single" w:color="A0B8D8" w:sz="4"/>
              <w:right w:val="single" w:color="A0B8D8" w:sz="4"/>
            </w:tcBorders>
            <w:shd w:fill="EEF3FA" w:val="clear"/>
            <w:tcMar>
              <w:top w:type="dxa" w:w="120"/>
              <w:left w:type="dxa" w:w="160"/>
              <w:bottom w:type="dxa" w:w="120"/>
              <w:right w:type="dxa" w:w="160"/>
            </w:tcMar>
          </w:tcPr>
          <w:p>
            <w:pPr>
              <w:spacing w:before="0" w:after="0"/>
            </w:pPr>
            <w:r>
              <w:rPr>
                <w:rFonts w:ascii="Georgia" w:cs="Georgia" w:eastAsia="Georgia" w:hAnsi="Georgia"/>
                <w:color w:val="1B2D5B"/>
                <w:sz w:val="20"/>
                <w:szCs w:val="20"/>
              </w:rPr>
              <w:t xml:space="preserve">Explícito y propietario: las 5 dimensiones de Mente Imparable. Cada pieza de comunicación referencia el mismo sistema.</w:t>
            </w:r>
          </w:p>
        </w:tc>
      </w:tr>
      <w:tr>
        <w:tc>
          <w:tcPr>
            <w:tcW w:type="dxa" w:w="1700"/>
            <w:tcBorders>
              <w:top w:val="single" w:color="C8D0E0" w:sz="4"/>
              <w:left w:val="single" w:color="C8D0E0" w:sz="4"/>
              <w:bottom w:val="single" w:color="C8D0E0" w:sz="4"/>
              <w:right w:val="single" w:color="C8D0E0" w:sz="4"/>
            </w:tcBorders>
            <w:shd w:fill="EEF0F6" w:val="clear"/>
            <w:tcMar>
              <w:top w:type="dxa" w:w="120"/>
              <w:left w:type="dxa" w:w="160"/>
              <w:bottom w:type="dxa" w:w="120"/>
              <w:right w:type="dxa" w:w="160"/>
            </w:tcMar>
          </w:tcPr>
          <w:p>
            <w:pPr>
              <w:spacing w:before="0" w:after="0"/>
            </w:pPr>
            <w:r>
              <w:rPr>
                <w:rFonts w:ascii="Arial" w:cs="Arial" w:eastAsia="Arial" w:hAnsi="Arial"/>
                <w:b/>
                <w:bCs/>
                <w:color w:val="1B2D5B"/>
                <w:sz w:val="20"/>
                <w:szCs w:val="20"/>
              </w:rPr>
              <w:t xml:space="preserve">Legado percibido</w:t>
            </w:r>
          </w:p>
        </w:tc>
        <w:tc>
          <w:tcPr>
            <w:tcW w:type="dxa" w:w="3700"/>
            <w:tcBorders>
              <w:top w:val="single" w:color="D0D7E5" w:sz="4"/>
              <w:left w:val="single" w:color="D0D7E5" w:sz="4"/>
              <w:bottom w:val="single" w:color="D0D7E5" w:sz="4"/>
              <w:right w:val="single" w:color="D0D7E5" w:sz="4"/>
            </w:tcBorders>
            <w:shd w:fill="FFFFFF" w:val="clear"/>
            <w:tcMar>
              <w:top w:type="dxa" w:w="120"/>
              <w:left w:type="dxa" w:w="160"/>
              <w:bottom w:type="dxa" w:w="120"/>
              <w:right w:type="dxa" w:w="160"/>
            </w:tcMar>
          </w:tcPr>
          <w:p>
            <w:pPr>
              <w:spacing w:before="0" w:after="0"/>
            </w:pPr>
            <w:r>
              <w:rPr>
                <w:rFonts w:ascii="Georgia" w:cs="Georgia" w:eastAsia="Georgia" w:hAnsi="Georgia"/>
                <w:i/>
                <w:iCs/>
                <w:color w:val="444444"/>
                <w:sz w:val="20"/>
                <w:szCs w:val="20"/>
              </w:rPr>
              <w:t xml:space="preserve">'El que más me sorprendió en un evento.' Admiración sin apropiación.</w:t>
            </w:r>
          </w:p>
        </w:tc>
        <w:tc>
          <w:tcPr>
            <w:tcW w:type="dxa" w:w="3860"/>
            <w:tcBorders>
              <w:top w:val="single" w:color="A0B8D8" w:sz="4"/>
              <w:left w:val="single" w:color="A0B8D8" w:sz="4"/>
              <w:bottom w:val="single" w:color="A0B8D8" w:sz="4"/>
              <w:right w:val="single" w:color="A0B8D8" w:sz="4"/>
            </w:tcBorders>
            <w:shd w:fill="EEF3FA" w:val="clear"/>
            <w:tcMar>
              <w:top w:type="dxa" w:w="120"/>
              <w:left w:type="dxa" w:w="160"/>
              <w:bottom w:type="dxa" w:w="120"/>
              <w:right w:type="dxa" w:w="160"/>
            </w:tcMar>
          </w:tcPr>
          <w:p>
            <w:pPr>
              <w:spacing w:before="0" w:after="0"/>
            </w:pPr>
            <w:r>
              <w:rPr>
                <w:rFonts w:ascii="Georgia" w:cs="Georgia" w:eastAsia="Georgia" w:hAnsi="Georgia"/>
                <w:color w:val="1B2D5B"/>
                <w:sz w:val="20"/>
                <w:szCs w:val="20"/>
              </w:rPr>
              <w:t xml:space="preserve">'El que me demostró que yo podía más de lo que creía.' Transformación con apropiación personal.</w:t>
            </w:r>
          </w:p>
        </w:tc>
      </w:tr>
    </w:tbl>
    <w:p>
      <w:pPr>
        <w:spacing w:before="180" w:after="60"/>
      </w:pPr>
      <w:r>
        <w:t xml:space="preserve"/>
      </w:r>
    </w:p>
    <w:p>
      <w:pPr>
        <w:pStyle w:val="Heading2"/>
        <w:spacing w:before="320" w:after="120"/>
      </w:pPr>
      <w:r>
        <w:rPr>
          <w:rFonts w:ascii="Arial" w:cs="Arial" w:eastAsia="Arial" w:hAnsi="Arial"/>
          <w:b/>
          <w:bCs/>
          <w:color w:val="B8912A"/>
          <w:sz w:val="26"/>
          <w:szCs w:val="26"/>
        </w:rPr>
        <w:t xml:space="preserve">Lectura analítica de la comparativa</w:t>
      </w:r>
    </w:p>
    <w:p>
      <w:pPr>
        <w:spacing w:before="0" w:after="180"/>
        <w:ind w:firstLine="0"/>
      </w:pPr>
      <w:r>
        <w:rPr>
          <w:rFonts w:ascii="Georgia" w:cs="Georgia" w:eastAsia="Georgia" w:hAnsi="Georgia"/>
          <w:color w:val="222222"/>
          <w:sz w:val="22"/>
          <w:szCs w:val="22"/>
        </w:rPr>
        <w:t xml:space="preserve">Hay una patrón que se repite en todas las dimensiones de la tabla anterior y que merece subrayarse con claridad: el ADN actual comunica un estado de consumo pasivo, mientras que el ADN propuesto comunica un estado de transformación activa. Esa diferencia no es semántica. Es la diferencia entre una marca de entretenimiento y una marca de transformación, y en términos de valor percibido, de precio de conferencia y de alcance de ecosistema, la distancia entre ambas categorías es enorme.</w:t>
      </w:r>
    </w:p>
    <w:p>
      <w:pPr>
        <w:spacing w:before="0" w:after="180"/>
        <w:ind w:firstLine="0"/>
      </w:pPr>
      <w:r>
        <w:rPr>
          <w:rFonts w:ascii="Georgia" w:cs="Georgia" w:eastAsia="Georgia" w:hAnsi="Georgia"/>
          <w:color w:val="222222"/>
          <w:sz w:val="22"/>
          <w:szCs w:val="22"/>
        </w:rPr>
        <w:t xml:space="preserve">Tomemos un solo ejemplo para ilustrarlo: la dimensión del rol del ilusionismo. En el ADN actual, el truco es el producto. El espectador llega, observa, se maravilla y se va. La experiencia es completa en sí misma, y eso la hace, paradójicamente, efímera. En el ADN propuesto, el truco es la puerta de entrada a una pregunta más poderosa: si tu mente puede ser dirigida tan fácilmente por alguien que sabe cómo hacerlo, ¿qué podrías lograr si aprendieras a dirigirla tú mismo? Esa pregunta no se agota con el espectáculo. Permanece. Y esa permanencia es lo que convierte una experiencia de evento en una relación de marca duradera.</w:t>
      </w:r>
    </w:p>
    <w:p>
      <w:pPr>
        <w:spacing w:before="60" w:after="60"/>
      </w:pPr>
      <w:r>
        <w:t xml:space="preserve"/>
      </w:r>
    </w:p>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160"/>
        <w:gridCol w:w="8900"/>
        <w:gridCol w:w="200"/>
      </w:tblGrid>
      <w:tr>
        <w:tc>
          <w:tcPr>
            <w:tcW w:type="dxa" w:w="160"/>
            <w:tcBorders>
              <w:top w:val="none" w:color="FFFFFF" w:sz="0"/>
              <w:left w:val="none" w:color="FFFFFF" w:sz="0"/>
              <w:bottom w:val="none" w:color="FFFFFF" w:sz="0"/>
              <w:right w:val="none" w:color="FFFFFF" w:sz="0"/>
            </w:tcBorders>
            <w:shd w:fill="1B2D5B" w:val="clear"/>
            <w:tcMar>
              <w:top w:type="dxa" w:w="0"/>
              <w:left w:type="dxa" w:w="0"/>
              <w:bottom w:type="dxa" w:w="0"/>
              <w:right w:type="dxa" w:w="0"/>
            </w:tcMar>
          </w:tcPr>
          <w:p>
            <w:r>
              <w:t xml:space="preserve"/>
            </w:r>
          </w:p>
        </w:tc>
        <w:tc>
          <w:tcPr>
            <w:tcW w:type="dxa" w:w="8900"/>
            <w:tcBorders>
              <w:top w:val="none" w:color="FFFFFF" w:sz="0"/>
              <w:left w:val="none" w:color="FFFFFF" w:sz="0"/>
              <w:bottom w:val="none" w:color="FFFFFF" w:sz="0"/>
              <w:right w:val="none" w:color="FFFFFF" w:sz="0"/>
            </w:tcBorders>
            <w:shd w:fill="F4F6FA" w:val="clear"/>
            <w:tcMar>
              <w:top w:type="dxa" w:w="160"/>
              <w:left w:type="dxa" w:w="280"/>
              <w:bottom w:type="dxa" w:w="160"/>
              <w:right w:type="dxa" w:w="280"/>
            </w:tcMar>
          </w:tcPr>
          <w:p>
            <w:pPr>
              <w:spacing w:before="0" w:after="0"/>
            </w:pPr>
            <w:r>
              <w:rPr>
                <w:rFonts w:ascii="Georgia" w:cs="Georgia" w:eastAsia="Georgia" w:hAnsi="Georgia"/>
                <w:i/>
                <w:iCs/>
                <w:color w:val="1B2D5B"/>
                <w:sz w:val="23"/>
                <w:szCs w:val="23"/>
              </w:rPr>
              <w:t xml:space="preserve">En branding de alto valor, el objetivo no es que la audiencia piense en ti después del evento. El objetivo es que piensen diferente sobre sí mismos porque te encontraron. Esa es la diferencia entre una marca memorable y una marca transformadora.</w:t>
            </w:r>
          </w:p>
        </w:tc>
        <w:tc>
          <w:tcPr>
            <w:tcW w:type="dxa" w:w="200"/>
            <w:tcBorders>
              <w:top w:val="none" w:color="FFFFFF" w:sz="0"/>
              <w:left w:val="none" w:color="FFFFFF" w:sz="0"/>
              <w:bottom w:val="none" w:color="FFFFFF" w:sz="0"/>
              <w:right w:val="none" w:color="FFFFFF" w:sz="0"/>
            </w:tcBorders>
            <w:shd w:fill="F4F6FA" w:val="clear"/>
            <w:tcMar>
              <w:top w:type="dxa" w:w="0"/>
              <w:left w:type="dxa" w:w="0"/>
              <w:bottom w:type="dxa" w:w="0"/>
              <w:right w:type="dxa" w:w="0"/>
            </w:tcMar>
          </w:tcPr>
          <w:p>
            <w:r>
              <w:t xml:space="preserve"/>
            </w:r>
          </w:p>
        </w:tc>
      </w:tr>
    </w:tbl>
    <w:p>
      <w:pPr>
        <w:spacing w:before="80" w:after="80"/>
      </w:pPr>
      <w:r>
        <w:t xml:space="preserve"/>
      </w:r>
    </w:p>
    <w:p>
      <w:pPr>
        <w:spacing w:before="0" w:after="180"/>
        <w:ind w:firstLine="0"/>
      </w:pPr>
      <w:r>
        <w:rPr>
          <w:rFonts w:ascii="Georgia" w:cs="Georgia" w:eastAsia="Georgia" w:hAnsi="Georgia"/>
          <w:color w:val="222222"/>
          <w:sz w:val="22"/>
          <w:szCs w:val="22"/>
        </w:rPr>
        <w:t xml:space="preserve">La otra dimensión que merece análisis específico es la del método propio. En la economía actual de la atención y el conocimiento, el intelectual capital propietario —es decir, un método con nombre, estructura y narrativa propias— es el activo de marca más difícil de imitar y el más eficiente para justificar precios premium. Víctor ya posee ese método: las 5 dimensiones de Mente Imparable están articuladas, publicadas y respaldadas por experiencias reales. Lo que falta es que ese método se convierta en el hilo conductor de toda su comunicación, no en un producto paralelo que se menciona cuando se habla del libro.</w:t>
      </w:r>
    </w:p>
    <w:p>
      <w:r>
        <w:r>
          <w:br w:type="page"/>
        </w:r>
      </w:r>
    </w:p>
    <w:p>
      <w:pPr>
        <w:pStyle w:val="Heading1"/>
        <w:pBdr>
          <w:bottom w:val="single" w:color="1B2D5B" w:sz="6" w:space="6"/>
        </w:pBdr>
        <w:spacing w:before="440" w:after="200"/>
      </w:pPr>
      <w:r>
        <w:rPr>
          <w:rFonts w:ascii="Arial" w:cs="Arial" w:eastAsia="Arial" w:hAnsi="Arial"/>
          <w:b/>
          <w:bCs/>
          <w:color w:val="1B2D5B"/>
          <w:sz w:val="34"/>
          <w:szCs w:val="34"/>
        </w:rPr>
        <w:t xml:space="preserve">III. Las cinco dimensiones como arquitectura de comunicación</w:t>
      </w:r>
    </w:p>
    <w:p>
      <w:pPr>
        <w:spacing w:before="0" w:after="180"/>
        <w:ind w:firstLine="0"/>
      </w:pPr>
      <w:r>
        <w:rPr>
          <w:rFonts w:ascii="Georgia" w:cs="Georgia" w:eastAsia="Georgia" w:hAnsi="Georgia"/>
          <w:color w:val="222222"/>
          <w:sz w:val="22"/>
          <w:szCs w:val="22"/>
        </w:rPr>
        <w:t xml:space="preserve">El modelo Mente Imparable no es solo el contenido de un libro. Es, en el análisis de un estratega de marca, una arquitectura de comunicación completa que espera ser activada. Cada una de sus cinco dimensiones responde a un territorio de conversación distinto, lo que significa que el sistema cubre un espectro de audiencias y contextos que ninguna categoría única de contenido podría alcanzar por sí sola.</w:t>
      </w:r>
    </w:p>
    <w:p>
      <w:pPr>
        <w:spacing w:before="0" w:after="180"/>
        <w:ind w:firstLine="0"/>
      </w:pPr>
      <w:r>
        <w:rPr>
          <w:rFonts w:ascii="Georgia" w:cs="Georgia" w:eastAsia="Georgia" w:hAnsi="Georgia"/>
          <w:color w:val="222222"/>
          <w:sz w:val="22"/>
          <w:szCs w:val="22"/>
        </w:rPr>
        <w:t xml:space="preserve">A continuación analizo cada dimensión no desde su contenido teórico, sino desde su potencial de comunicación de marca y la función estratégica que puede cumplir dentro del ecosistema de Víctor.</w:t>
      </w:r>
    </w:p>
    <w:p>
      <w:pPr>
        <w:spacing w:before="100" w:after="60"/>
      </w:pPr>
      <w:r>
        <w:t xml:space="preserve"/>
      </w:r>
    </w:p>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9260"/>
      </w:tblGrid>
      <w:tr>
        <w:tc>
          <w:tcPr>
            <w:tcW w:type="dxa" w:w="9260"/>
            <w:tcBorders>
              <w:top w:val="single" w:color="7F77DD" w:sz="8"/>
              <w:left w:val="single" w:color="7F77DD" w:sz="8"/>
              <w:bottom w:val="single" w:color="7F77DD" w:sz="4"/>
              <w:right w:val="single" w:color="7F77DD" w:sz="4"/>
            </w:tcBorders>
            <w:shd w:fill="EEF0FB" w:val="clear"/>
            <w:tcMar>
              <w:top w:type="dxa" w:w="180"/>
              <w:left w:type="dxa" w:w="260"/>
              <w:bottom w:type="dxa" w:w="180"/>
              <w:right w:type="dxa" w:w="260"/>
            </w:tcMar>
          </w:tcPr>
          <w:p>
            <w:pPr>
              <w:spacing w:before="0" w:after="100"/>
            </w:pPr>
            <w:r>
              <w:rPr>
                <w:rFonts w:ascii="Arial" w:cs="Arial" w:eastAsia="Arial" w:hAnsi="Arial"/>
                <w:b/>
                <w:bCs/>
                <w:color w:val="7F77DD"/>
                <w:sz w:val="24"/>
                <w:szCs w:val="24"/>
              </w:rPr>
              <w:t xml:space="preserve">1.  </w:t>
            </w:r>
            <w:r>
              <w:rPr>
                <w:rFonts w:ascii="Arial" w:cs="Arial" w:eastAsia="Arial" w:hAnsi="Arial"/>
                <w:b/>
                <w:bCs/>
                <w:color w:val="1B2D5B"/>
                <w:sz w:val="24"/>
                <w:szCs w:val="24"/>
              </w:rPr>
              <w:t xml:space="preserve">Potencial expansivo — el gancho filosófico de la marca</w:t>
            </w:r>
          </w:p>
          <w:p>
            <w:pPr>
              <w:spacing w:before="0" w:after="120"/>
            </w:pPr>
            <w:r>
              <w:rPr>
                <w:rFonts w:ascii="Georgia" w:cs="Georgia" w:eastAsia="Georgia" w:hAnsi="Georgia"/>
                <w:color w:val="333333"/>
                <w:sz w:val="21"/>
                <w:szCs w:val="21"/>
              </w:rPr>
              <w:t xml:space="preserve">Esta dimensión es el equivalente narrativo de la pregunta '¿y si...?' que Castañeda utiliza con precisión en el libro. En términos de branding, es la dimensión que instala la premisa central de toda la marca: los límites no son realidades externas, son construcciones internas.</w:t>
            </w:r>
          </w:p>
          <w:p>
            <w:pPr>
              <w:spacing w:before="0" w:after="100"/>
            </w:pPr>
            <w:r>
              <w:rPr>
                <w:rFonts w:ascii="Georgia" w:cs="Georgia" w:eastAsia="Georgia" w:hAnsi="Georgia"/>
                <w:color w:val="222222"/>
                <w:sz w:val="21"/>
                <w:szCs w:val="21"/>
              </w:rPr>
              <w:t xml:space="preserve">Desde el punto de vista comunicacional, el potencial expansivo es el territorio donde el mentalismo y la filosofía de marca se fusionan con mayor elegancia. Cuando Víctor lee la mente de alguien en un reel, no está solo demostrando un truco: está demostrando, de manera irrefutable y en tiempo real, que la percepción puede ser manipulada. Y si puede ser manipulada por otro, puede ser reconfigurada por uno mismo.</w:t>
            </w:r>
          </w:p>
          <w:p>
            <w:pPr>
              <w:spacing w:before="0" w:after="100"/>
            </w:pPr>
            <w:r>
              <w:rPr>
                <w:rFonts w:ascii="Georgia" w:cs="Georgia" w:eastAsia="Georgia" w:hAnsi="Georgia"/>
                <w:color w:val="222222"/>
                <w:sz w:val="21"/>
                <w:szCs w:val="21"/>
              </w:rPr>
              <w:t xml:space="preserve">El mensaje de marca que se desprende de esta dimensión es el más poderoso del sistema: 'si tu mente puede ser dirigida tan fácilmente por alguien que sabe cómo hacerlo, imagina lo que podrías hacer si aprendes a dirigirla tú mismo'. Esa frase convierte cada acto de mentalismo en una demostración filosófica, y esa conversión es exactamente lo que diferencia a una marca de entretenimiento de una marca de transformación.</w:t>
            </w:r>
          </w:p>
          <w:p>
            <w:pPr>
              <w:spacing w:before="80" w:after="0"/>
            </w:pPr>
            <w:r>
              <w:rPr>
                <w:rFonts w:ascii="Arial" w:cs="Arial" w:eastAsia="Arial" w:hAnsi="Arial"/>
                <w:b/>
                <w:bCs/>
                <w:color w:val="1B2D5B"/>
                <w:sz w:val="20"/>
                <w:szCs w:val="20"/>
              </w:rPr>
              <w:t xml:space="preserve">Mensaje ancla: </w:t>
            </w:r>
            <w:r>
              <w:rPr>
                <w:rFonts w:ascii="Georgia" w:cs="Georgia" w:eastAsia="Georgia" w:hAnsi="Georgia"/>
                <w:i/>
                <w:iCs/>
                <w:color w:val="4A5568"/>
                <w:sz w:val="20"/>
                <w:szCs w:val="20"/>
              </w:rPr>
              <w:t xml:space="preserve">"Si tu mente puede ser engañada tan fácilmente, también puede ser reprogramada. ¿Y si empezaras hoy?"</w:t>
            </w:r>
          </w:p>
        </w:tc>
      </w:tr>
    </w:tbl>
    <w:p>
      <w:pPr>
        <w:spacing w:before="100" w:after="100"/>
      </w:pPr>
      <w:r>
        <w:t xml:space="preserve"/>
      </w:r>
    </w:p>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9260"/>
      </w:tblGrid>
      <w:tr>
        <w:tc>
          <w:tcPr>
            <w:tcW w:type="dxa" w:w="9260"/>
            <w:tcBorders>
              <w:top w:val="single" w:color="1D9E75" w:sz="8"/>
              <w:left w:val="single" w:color="1D9E75" w:sz="8"/>
              <w:bottom w:val="single" w:color="1D9E75" w:sz="4"/>
              <w:right w:val="single" w:color="1D9E75" w:sz="4"/>
            </w:tcBorders>
            <w:shd w:fill="EDF7F2" w:val="clear"/>
            <w:tcMar>
              <w:top w:type="dxa" w:w="180"/>
              <w:left w:type="dxa" w:w="260"/>
              <w:bottom w:type="dxa" w:w="180"/>
              <w:right w:type="dxa" w:w="260"/>
            </w:tcMar>
          </w:tcPr>
          <w:p>
            <w:pPr>
              <w:spacing w:before="0" w:after="100"/>
            </w:pPr>
            <w:r>
              <w:rPr>
                <w:rFonts w:ascii="Arial" w:cs="Arial" w:eastAsia="Arial" w:hAnsi="Arial"/>
                <w:b/>
                <w:bCs/>
                <w:color w:val="1D9E75"/>
                <w:sz w:val="24"/>
                <w:szCs w:val="24"/>
              </w:rPr>
              <w:t xml:space="preserve">2.  </w:t>
            </w:r>
            <w:r>
              <w:rPr>
                <w:rFonts w:ascii="Arial" w:cs="Arial" w:eastAsia="Arial" w:hAnsi="Arial"/>
                <w:b/>
                <w:bCs/>
                <w:color w:val="1B2D5B"/>
                <w:sz w:val="24"/>
                <w:szCs w:val="24"/>
              </w:rPr>
              <w:t xml:space="preserve">Dominio del tablero — el puente con el mundo corporativo</w:t>
            </w:r>
          </w:p>
          <w:p>
            <w:pPr>
              <w:spacing w:before="0" w:after="120"/>
            </w:pPr>
            <w:r>
              <w:rPr>
                <w:rFonts w:ascii="Georgia" w:cs="Georgia" w:eastAsia="Georgia" w:hAnsi="Georgia"/>
                <w:color w:val="333333"/>
                <w:sz w:val="21"/>
                <w:szCs w:val="21"/>
              </w:rPr>
              <w:t xml:space="preserve">Esta dimensión es, en mi análisis, la que tiene mayor potencial de impacto en el mercado corporativo de alto valor. La razón es simple: hablar de 'hackear el sistema' en el que uno juega es una conversación que todo directivo, emprendedor y líder de equipo necesita tener, y muy pocos facilitadores saben tener con la profundidad y las herramientas conceptuales que Castañeda posee.</w:t>
            </w:r>
          </w:p>
          <w:p>
            <w:pPr>
              <w:spacing w:before="0" w:after="100"/>
            </w:pPr>
            <w:r>
              <w:rPr>
                <w:rFonts w:ascii="Georgia" w:cs="Georgia" w:eastAsia="Georgia" w:hAnsi="Georgia"/>
                <w:color w:val="222222"/>
                <w:sz w:val="21"/>
                <w:szCs w:val="21"/>
              </w:rPr>
              <w:t xml:space="preserve">La referencia a Tom Cruise en el libro no es un detalle anecdótico: es un caso de estudio de branding estratégico disfrazado de entretenimiento. Cruise entendió que competir por los Oscares lo colocaba en una liga saturada donde su diferenciación era marginal. Al redefinir las reglas del juego —eligiendo la acción extrema real como su territorio exclusivo— creó una categoría donde él era el único jugador. Ese es exactamente el movimiento que Víctor puede hacer en el mercado de las conferencias corporativas.</w:t>
            </w:r>
          </w:p>
          <w:p>
            <w:pPr>
              <w:spacing w:before="0" w:after="100"/>
            </w:pPr>
            <w:r>
              <w:rPr>
                <w:rFonts w:ascii="Georgia" w:cs="Georgia" w:eastAsia="Georgia" w:hAnsi="Georgia"/>
                <w:color w:val="222222"/>
                <w:sz w:val="21"/>
                <w:szCs w:val="21"/>
              </w:rPr>
              <w:t xml:space="preserve">La comunicación de esta dimensión debe apuntar a decisores: CEOs, directores de cultura organizacional, líderes de equipos comerciales. El mensaje no es 'te traigo un show'; es 'te traigo una metodología de transformación de mentalidad aplicada al liderazgo y la estrategia, demostrada en vivo'.</w:t>
            </w:r>
          </w:p>
          <w:p>
            <w:pPr>
              <w:spacing w:before="80" w:after="0"/>
            </w:pPr>
            <w:r>
              <w:rPr>
                <w:rFonts w:ascii="Arial" w:cs="Arial" w:eastAsia="Arial" w:hAnsi="Arial"/>
                <w:b/>
                <w:bCs/>
                <w:color w:val="1B2D5B"/>
                <w:sz w:val="20"/>
                <w:szCs w:val="20"/>
              </w:rPr>
              <w:t xml:space="preserve">Mensaje ancla: </w:t>
            </w:r>
            <w:r>
              <w:rPr>
                <w:rFonts w:ascii="Georgia" w:cs="Georgia" w:eastAsia="Georgia" w:hAnsi="Georgia"/>
                <w:i/>
                <w:iCs/>
                <w:color w:val="4A5568"/>
                <w:sz w:val="20"/>
                <w:szCs w:val="20"/>
              </w:rPr>
              <w:t xml:space="preserve">"Las reglas del juego no son una jaula. Son un marco que se puede doblar. La pregunta es si sabes cómo."</w:t>
            </w:r>
          </w:p>
        </w:tc>
      </w:tr>
    </w:tbl>
    <w:p>
      <w:pPr>
        <w:spacing w:before="100" w:after="100"/>
      </w:pPr>
      <w:r>
        <w:t xml:space="preserve"/>
      </w:r>
    </w:p>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9260"/>
      </w:tblGrid>
      <w:tr>
        <w:tc>
          <w:tcPr>
            <w:tcW w:type="dxa" w:w="9260"/>
            <w:tcBorders>
              <w:top w:val="single" w:color="BA7517" w:sz="8"/>
              <w:left w:val="single" w:color="BA7517" w:sz="8"/>
              <w:bottom w:val="single" w:color="BA7517" w:sz="4"/>
              <w:right w:val="single" w:color="BA7517" w:sz="4"/>
            </w:tcBorders>
            <w:shd w:fill="FBF6E8" w:val="clear"/>
            <w:tcMar>
              <w:top w:type="dxa" w:w="180"/>
              <w:left w:type="dxa" w:w="260"/>
              <w:bottom w:type="dxa" w:w="180"/>
              <w:right w:type="dxa" w:w="260"/>
            </w:tcMar>
          </w:tcPr>
          <w:p>
            <w:pPr>
              <w:spacing w:before="0" w:after="100"/>
            </w:pPr>
            <w:r>
              <w:rPr>
                <w:rFonts w:ascii="Arial" w:cs="Arial" w:eastAsia="Arial" w:hAnsi="Arial"/>
                <w:b/>
                <w:bCs/>
                <w:color w:val="BA7517"/>
                <w:sz w:val="24"/>
                <w:szCs w:val="24"/>
              </w:rPr>
              <w:t xml:space="preserve">3.  </w:t>
            </w:r>
            <w:r>
              <w:rPr>
                <w:rFonts w:ascii="Arial" w:cs="Arial" w:eastAsia="Arial" w:hAnsi="Arial"/>
                <w:b/>
                <w:bCs/>
                <w:color w:val="1B2D5B"/>
                <w:sz w:val="24"/>
                <w:szCs w:val="24"/>
              </w:rPr>
              <w:t xml:space="preserve">Mentalidad multidimensional — el territorio de identidad y autoliderazgo</w:t>
            </w:r>
          </w:p>
          <w:p>
            <w:pPr>
              <w:spacing w:before="0" w:after="120"/>
            </w:pPr>
            <w:r>
              <w:rPr>
                <w:rFonts w:ascii="Georgia" w:cs="Georgia" w:eastAsia="Georgia" w:hAnsi="Georgia"/>
                <w:color w:val="333333"/>
                <w:sz w:val="21"/>
                <w:szCs w:val="21"/>
              </w:rPr>
              <w:t xml:space="preserve">Esta es la dimensión más filosófica del sistema y, paradójicamente, la que más resuena en audiencias generales y redes sociales. La idea de que dentro de cada persona conviven múltiples versiones —y que la pregunta relevante no es quién eres, sino cuál versión activas hoy— tiene una aplicabilidad universal que trasciende el mundo corporativo.</w:t>
            </w:r>
          </w:p>
          <w:p>
            <w:pPr>
              <w:spacing w:before="0" w:after="100"/>
            </w:pPr>
            <w:r>
              <w:rPr>
                <w:rFonts w:ascii="Georgia" w:cs="Georgia" w:eastAsia="Georgia" w:hAnsi="Georgia"/>
                <w:color w:val="222222"/>
                <w:sz w:val="21"/>
                <w:szCs w:val="21"/>
              </w:rPr>
              <w:t xml:space="preserve">Desde el análisis de contenido de marca, esta dimensión abre un territorio de conversación sobre identidad, adaptabilidad y reinvención personal que conecta directamente con las conversaciones más virales del mundo del desarrollo personal contemporáneo, pero con una diferencia crítica: Víctor no lo presenta como filosofía de vida genérica, sino como un principio demostrable con evidencia de neuroplasticidad y física cuántica aplicada como metáfora.</w:t>
            </w:r>
          </w:p>
          <w:p>
            <w:pPr>
              <w:spacing w:before="0" w:after="100"/>
            </w:pPr>
            <w:r>
              <w:rPr>
                <w:rFonts w:ascii="Georgia" w:cs="Georgia" w:eastAsia="Georgia" w:hAnsi="Georgia"/>
                <w:color w:val="222222"/>
                <w:sz w:val="21"/>
                <w:szCs w:val="21"/>
              </w:rPr>
              <w:t xml:space="preserve">El riesgo de esta dimensión, que señalo con intención crítica, es caer en el territorio de los 'coaches de mindset' que saturan el mercado digital. La diferencia que debe sostener la comunicación de Víctor en este territorio es siempre la demostración. No afirmar que la mente puede reinventarse: demostrar en vivo que puede ser dirigida, y por extensión, que puede ser reconfigurada con intención.</w:t>
            </w:r>
          </w:p>
          <w:p>
            <w:pPr>
              <w:spacing w:before="80" w:after="0"/>
            </w:pPr>
            <w:r>
              <w:rPr>
                <w:rFonts w:ascii="Arial" w:cs="Arial" w:eastAsia="Arial" w:hAnsi="Arial"/>
                <w:b/>
                <w:bCs/>
                <w:color w:val="1B2D5B"/>
                <w:sz w:val="20"/>
                <w:szCs w:val="20"/>
              </w:rPr>
              <w:t xml:space="preserve">Mensaje ancla: </w:t>
            </w:r>
            <w:r>
              <w:rPr>
                <w:rFonts w:ascii="Georgia" w:cs="Georgia" w:eastAsia="Georgia" w:hAnsi="Georgia"/>
                <w:i/>
                <w:iCs/>
                <w:color w:val="4A5568"/>
                <w:sz w:val="20"/>
                <w:szCs w:val="20"/>
              </w:rPr>
              <w:t xml:space="preserve">"No eres una sola versión de ti. La pregunta que importa es: ¿cuál vas a activar hoy?"</w:t>
            </w:r>
          </w:p>
        </w:tc>
      </w:tr>
    </w:tbl>
    <w:p>
      <w:pPr>
        <w:spacing w:before="100" w:after="100"/>
      </w:pPr>
      <w:r>
        <w:t xml:space="preserve"/>
      </w:r>
    </w:p>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9260"/>
      </w:tblGrid>
      <w:tr>
        <w:tc>
          <w:tcPr>
            <w:tcW w:type="dxa" w:w="9260"/>
            <w:tcBorders>
              <w:top w:val="single" w:color="D85A30" w:sz="8"/>
              <w:left w:val="single" w:color="D85A30" w:sz="8"/>
              <w:bottom w:val="single" w:color="D85A30" w:sz="4"/>
              <w:right w:val="single" w:color="D85A30" w:sz="4"/>
            </w:tcBorders>
            <w:shd w:fill="FAF0EE" w:val="clear"/>
            <w:tcMar>
              <w:top w:type="dxa" w:w="180"/>
              <w:left w:type="dxa" w:w="260"/>
              <w:bottom w:type="dxa" w:w="180"/>
              <w:right w:type="dxa" w:w="260"/>
            </w:tcMar>
          </w:tcPr>
          <w:p>
            <w:pPr>
              <w:spacing w:before="0" w:after="100"/>
            </w:pPr>
            <w:r>
              <w:rPr>
                <w:rFonts w:ascii="Arial" w:cs="Arial" w:eastAsia="Arial" w:hAnsi="Arial"/>
                <w:b/>
                <w:bCs/>
                <w:color w:val="D85A30"/>
                <w:sz w:val="24"/>
                <w:szCs w:val="24"/>
              </w:rPr>
              <w:t xml:space="preserve">4.  </w:t>
            </w:r>
            <w:r>
              <w:rPr>
                <w:rFonts w:ascii="Arial" w:cs="Arial" w:eastAsia="Arial" w:hAnsi="Arial"/>
                <w:b/>
                <w:bCs/>
                <w:color w:val="1B2D5B"/>
                <w:sz w:val="24"/>
                <w:szCs w:val="24"/>
              </w:rPr>
              <w:t xml:space="preserve">Motivación indestructible — el motor de marca a largo plazo</w:t>
            </w:r>
          </w:p>
          <w:p>
            <w:pPr>
              <w:spacing w:before="0" w:after="120"/>
            </w:pPr>
            <w:r>
              <w:rPr>
                <w:rFonts w:ascii="Georgia" w:cs="Georgia" w:eastAsia="Georgia" w:hAnsi="Georgia"/>
                <w:color w:val="333333"/>
                <w:sz w:val="21"/>
                <w:szCs w:val="21"/>
              </w:rPr>
              <w:t xml:space="preserve">Esta dimensión tiene una función estratégica específica dentro del ecosistema de marca: es la que justifica la relación continua con la audiencia. La motivación no como estado emocional transitorio, sino como habilidad entrenada, es una conversación que ninguna conferencia de dos horas agota.</w:t>
            </w:r>
          </w:p>
          <w:p>
            <w:pPr>
              <w:spacing w:before="0" w:after="100"/>
            </w:pPr>
            <w:r>
              <w:rPr>
                <w:rFonts w:ascii="Georgia" w:cs="Georgia" w:eastAsia="Georgia" w:hAnsi="Georgia"/>
                <w:color w:val="222222"/>
                <w:sz w:val="21"/>
                <w:szCs w:val="21"/>
              </w:rPr>
              <w:t xml:space="preserve">El experimento de Glucksberg citado en el libro —que demuestra que los incentivos externos reducen la creatividad en problemas que requieren pensamiento lateral— es el tipo de evidencia científica accesible que Víctor puede convertir en contenido de alto valor diferencial. No es autoayuda. Es psicología experimental aplicada, comunicada con el lenguaje de alguien que entiende tanto la ciencia como el escenario.</w:t>
            </w:r>
          </w:p>
          <w:p>
            <w:pPr>
              <w:spacing w:before="0" w:after="100"/>
            </w:pPr>
            <w:r>
              <w:rPr>
                <w:rFonts w:ascii="Georgia" w:cs="Georgia" w:eastAsia="Georgia" w:hAnsi="Georgia"/>
                <w:color w:val="222222"/>
                <w:sz w:val="21"/>
                <w:szCs w:val="21"/>
              </w:rPr>
              <w:t xml:space="preserve">La implicación de marca es importante: si Víctor posiciona la motivación indestructible como una habilidad —no como un estado de ánimo—, su propuesta deja de competir con las frases inspiracionales de Instagram y entra en la categoría de 'método basado en evidencia'. Esa categoría tiene un precio de mercado completamente distinto.</w:t>
            </w:r>
          </w:p>
          <w:p>
            <w:pPr>
              <w:spacing w:before="80" w:after="0"/>
            </w:pPr>
            <w:r>
              <w:rPr>
                <w:rFonts w:ascii="Arial" w:cs="Arial" w:eastAsia="Arial" w:hAnsi="Arial"/>
                <w:b/>
                <w:bCs/>
                <w:color w:val="1B2D5B"/>
                <w:sz w:val="20"/>
                <w:szCs w:val="20"/>
              </w:rPr>
              <w:t xml:space="preserve">Mensaje ancla: </w:t>
            </w:r>
            <w:r>
              <w:rPr>
                <w:rFonts w:ascii="Georgia" w:cs="Georgia" w:eastAsia="Georgia" w:hAnsi="Georgia"/>
                <w:i/>
                <w:iCs/>
                <w:color w:val="4A5568"/>
                <w:sz w:val="20"/>
                <w:szCs w:val="20"/>
              </w:rPr>
              <w:t xml:space="preserve">"La motivación no se pierde. Solo no has encontrado el botón de encendido. Yo te enseño dónde está."</w:t>
            </w:r>
          </w:p>
        </w:tc>
      </w:tr>
    </w:tbl>
    <w:p>
      <w:pPr>
        <w:spacing w:before="100" w:after="100"/>
      </w:pPr>
      <w:r>
        <w:t xml:space="preserve"/>
      </w:r>
    </w:p>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9260"/>
      </w:tblGrid>
      <w:tr>
        <w:tc>
          <w:tcPr>
            <w:tcW w:type="dxa" w:w="9260"/>
            <w:tcBorders>
              <w:top w:val="single" w:color="378ADD" w:sz="8"/>
              <w:left w:val="single" w:color="378ADD" w:sz="8"/>
              <w:bottom w:val="single" w:color="378ADD" w:sz="4"/>
              <w:right w:val="single" w:color="378ADD" w:sz="4"/>
            </w:tcBorders>
            <w:shd w:fill="EEF3FB" w:val="clear"/>
            <w:tcMar>
              <w:top w:type="dxa" w:w="180"/>
              <w:left w:type="dxa" w:w="260"/>
              <w:bottom w:type="dxa" w:w="180"/>
              <w:right w:type="dxa" w:w="260"/>
            </w:tcMar>
          </w:tcPr>
          <w:p>
            <w:pPr>
              <w:spacing w:before="0" w:after="100"/>
            </w:pPr>
            <w:r>
              <w:rPr>
                <w:rFonts w:ascii="Arial" w:cs="Arial" w:eastAsia="Arial" w:hAnsi="Arial"/>
                <w:b/>
                <w:bCs/>
                <w:color w:val="378ADD"/>
                <w:sz w:val="24"/>
                <w:szCs w:val="24"/>
              </w:rPr>
              <w:t xml:space="preserve">5.  </w:t>
            </w:r>
            <w:r>
              <w:rPr>
                <w:rFonts w:ascii="Arial" w:cs="Arial" w:eastAsia="Arial" w:hAnsi="Arial"/>
                <w:b/>
                <w:bCs/>
                <w:color w:val="1B2D5B"/>
                <w:sz w:val="24"/>
                <w:szCs w:val="24"/>
              </w:rPr>
              <w:t xml:space="preserve">Resiliencia 2.0 — el argumento más poderoso para el mercado actual</w:t>
            </w:r>
          </w:p>
          <w:p>
            <w:pPr>
              <w:spacing w:before="0" w:after="120"/>
            </w:pPr>
            <w:r>
              <w:rPr>
                <w:rFonts w:ascii="Georgia" w:cs="Georgia" w:eastAsia="Georgia" w:hAnsi="Georgia"/>
                <w:color w:val="333333"/>
                <w:sz w:val="21"/>
                <w:szCs w:val="21"/>
              </w:rPr>
              <w:t xml:space="preserve">Si tuviera que elegir una sola dimensión para posicionar el libro y la conferencia en el mercado corporativo de 2025, elegiría esta. El concepto de antifragilidad —desarrollado por Nassim Taleb y aplicado por Víctor al desarrollo personal y organizacional— es exactamente el tipo de marco conceptual que las organizaciones necesitan hoy, en un entorno de incertidumbre estructural que ya no tiene visos de resolverse.</w:t>
            </w:r>
          </w:p>
          <w:p>
            <w:pPr>
              <w:spacing w:before="0" w:after="100"/>
            </w:pPr>
            <w:r>
              <w:rPr>
                <w:rFonts w:ascii="Georgia" w:cs="Georgia" w:eastAsia="Georgia" w:hAnsi="Georgia"/>
                <w:color w:val="222222"/>
                <w:sz w:val="21"/>
                <w:szCs w:val="21"/>
              </w:rPr>
              <w:t xml:space="preserve">La diferencia entre resiliencia y antifragilidad no es semántica: es una diferencia de filosofía organizacional. La resiliencia busca recuperar el estado previo al golpe. La antifragilidad busca emerger del golpe como algo distinto y más capaz. En el lenguaje del branding, eso es la diferencia entre una marca que sobrevive y una marca que crece en momentos de crisis.</w:t>
            </w:r>
          </w:p>
          <w:p>
            <w:pPr>
              <w:spacing w:before="0" w:after="100"/>
            </w:pPr>
            <w:r>
              <w:rPr>
                <w:rFonts w:ascii="Georgia" w:cs="Georgia" w:eastAsia="Georgia" w:hAnsi="Georgia"/>
                <w:color w:val="222222"/>
                <w:sz w:val="21"/>
                <w:szCs w:val="21"/>
              </w:rPr>
              <w:t xml:space="preserve">La historia del capitán Sully en el libro es uno de los mejores materiales narrativos de alta credibilidad que Víctor tiene a su disposición. No es una historia de inspiración vacía: es el análisis de cómo décadas de preparación mental consciente producen la capacidad de tomar decisiones óptimas en tres minutos y medio, con 155 vidas en juego. Ese tipo de historia, comunicada con el rigor analítico de quien entiende la psicología del rendimiento bajo presión, es exactamente lo que los tomadores de decisiones corporativos quieren escuchar.</w:t>
            </w:r>
          </w:p>
          <w:p>
            <w:pPr>
              <w:spacing w:before="80" w:after="0"/>
            </w:pPr>
            <w:r>
              <w:rPr>
                <w:rFonts w:ascii="Arial" w:cs="Arial" w:eastAsia="Arial" w:hAnsi="Arial"/>
                <w:b/>
                <w:bCs/>
                <w:color w:val="1B2D5B"/>
                <w:sz w:val="20"/>
                <w:szCs w:val="20"/>
              </w:rPr>
              <w:t xml:space="preserve">Mensaje ancla: </w:t>
            </w:r>
            <w:r>
              <w:rPr>
                <w:rFonts w:ascii="Georgia" w:cs="Georgia" w:eastAsia="Georgia" w:hAnsi="Georgia"/>
                <w:i/>
                <w:iCs/>
                <w:color w:val="4A5568"/>
                <w:sz w:val="20"/>
                <w:szCs w:val="20"/>
              </w:rPr>
              <w:t xml:space="preserve">"No vuelvas a ser la misma persona después de un golpe. Usa cada crisis como un multiplicador de poder."</w:t>
            </w:r>
          </w:p>
        </w:tc>
      </w:tr>
    </w:tbl>
    <w:p>
      <w:r>
        <w:r>
          <w:br w:type="page"/>
        </w:r>
      </w:r>
    </w:p>
    <w:p>
      <w:pPr>
        <w:pStyle w:val="Heading1"/>
        <w:pBdr>
          <w:bottom w:val="single" w:color="1B2D5B" w:sz="6" w:space="6"/>
        </w:pBdr>
        <w:spacing w:before="440" w:after="200"/>
      </w:pPr>
      <w:r>
        <w:rPr>
          <w:rFonts w:ascii="Arial" w:cs="Arial" w:eastAsia="Arial" w:hAnsi="Arial"/>
          <w:b/>
          <w:bCs/>
          <w:color w:val="1B2D5B"/>
          <w:sz w:val="34"/>
          <w:szCs w:val="34"/>
        </w:rPr>
        <w:t xml:space="preserve">IV. Implicaciones de comunicación: qué cambia y por qué importa</w:t>
      </w:r>
    </w:p>
    <w:p>
      <w:pPr>
        <w:spacing w:before="0" w:after="180"/>
        <w:ind w:firstLine="0"/>
      </w:pPr>
      <w:r>
        <w:rPr>
          <w:rFonts w:ascii="Georgia" w:cs="Georgia" w:eastAsia="Georgia" w:hAnsi="Georgia"/>
          <w:color w:val="222222"/>
          <w:sz w:val="22"/>
          <w:szCs w:val="22"/>
        </w:rPr>
        <w:t xml:space="preserve">El análisis de las cinco dimensiones como arquitectura de comunicación lleva inevitablemente a una pregunta práctica: ¿qué cambia exactamente en la manera en que Víctor se comunica, y qué resultados concretos produce ese cambio? A continuación desarrollo las cinco implicaciones que considero más relevantes desde la perspectiva del branding estratégico.</w:t>
      </w:r>
    </w:p>
    <w:p>
      <w:pPr>
        <w:pStyle w:val="Heading2"/>
        <w:spacing w:before="320" w:after="120"/>
      </w:pPr>
      <w:r>
        <w:rPr>
          <w:rFonts w:ascii="Arial" w:cs="Arial" w:eastAsia="Arial" w:hAnsi="Arial"/>
          <w:b/>
          <w:bCs/>
          <w:color w:val="B8912A"/>
          <w:sz w:val="26"/>
          <w:szCs w:val="26"/>
        </w:rPr>
        <w:t xml:space="preserve">1. La marca sale de la categoría y crea la propia</w:t>
      </w:r>
    </w:p>
    <w:p>
      <w:pPr>
        <w:spacing w:before="0" w:after="180"/>
        <w:ind w:firstLine="0"/>
      </w:pPr>
      <w:r>
        <w:rPr>
          <w:rFonts w:ascii="Georgia" w:cs="Georgia" w:eastAsia="Georgia" w:hAnsi="Georgia"/>
          <w:color w:val="222222"/>
          <w:sz w:val="22"/>
          <w:szCs w:val="22"/>
        </w:rPr>
        <w:t xml:space="preserve">Esta es, en mi opinión, la implicación más valiosa de todo el ejercicio de reposicionamiento. En el mercado actual de las conferencias corporativas y el contenido de desarrollo personal, existe una saturación de mentalistas, coaches de mindset, expertos en liderazgo y speakers motivacionales. Cada una de esas categorías tiene sus referentes establecidos y sus audiencias capturadas.</w:t>
      </w:r>
    </w:p>
    <w:p>
      <w:pPr>
        <w:spacing w:before="0" w:after="180"/>
        <w:ind w:firstLine="0"/>
      </w:pPr>
      <w:r>
        <w:rPr>
          <w:rFonts w:ascii="Georgia" w:cs="Georgia" w:eastAsia="Georgia" w:hAnsi="Georgia"/>
          <w:color w:val="222222"/>
          <w:sz w:val="22"/>
          <w:szCs w:val="22"/>
        </w:rPr>
        <w:t xml:space="preserve">Víctor opera hoy en la intersección de mentalismo y conferencia corporativa, que es una posición diferenciada pero no única. Con el ADN propuesto, opera en una categoría que no existe: el speaker que demuestra en tiempo real, con el cuerpo y la mente del espectador como laboratorio, que lo imposible es una construcción mental, y que tiene un método propietario para cambiarlo. Esa combinación es literalmente inimitable, porque requiere la convergencia de habilidades —mentalismo de alto nivel, comprensión de neurociencia, experiencia corporativa y un libro con respaldo editorial— que no pueden replicarse en el corto plazo.</w:t>
      </w:r>
    </w:p>
    <w:p>
      <w:pPr>
        <w:spacing w:before="0" w:after="180"/>
        <w:ind w:firstLine="0"/>
      </w:pPr>
      <w:r>
        <w:rPr>
          <w:rFonts w:ascii="Georgia" w:cs="Georgia" w:eastAsia="Georgia" w:hAnsi="Georgia"/>
          <w:color w:val="222222"/>
          <w:sz w:val="22"/>
          <w:szCs w:val="22"/>
        </w:rPr>
        <w:t xml:space="preserve">En términos de posicionamiento competitivo, crear tu propia categoría no es un movimiento de marketing. Es el movimiento de marca más protegido que existe, porque el primero en definir una categoría se convierte en su referencia por defecto.</w:t>
      </w:r>
    </w:p>
    <w:p>
      <w:pPr>
        <w:pStyle w:val="Heading2"/>
        <w:spacing w:before="320" w:after="120"/>
      </w:pPr>
      <w:r>
        <w:rPr>
          <w:rFonts w:ascii="Arial" w:cs="Arial" w:eastAsia="Arial" w:hAnsi="Arial"/>
          <w:b/>
          <w:bCs/>
          <w:color w:val="B8912A"/>
          <w:sz w:val="26"/>
          <w:szCs w:val="26"/>
        </w:rPr>
        <w:t xml:space="preserve">2. El contenido deja de ser táctico y se vuelve estratégico</w:t>
      </w:r>
    </w:p>
    <w:p>
      <w:pPr>
        <w:spacing w:before="0" w:after="180"/>
        <w:ind w:firstLine="0"/>
      </w:pPr>
      <w:r>
        <w:rPr>
          <w:rFonts w:ascii="Georgia" w:cs="Georgia" w:eastAsia="Georgia" w:hAnsi="Georgia"/>
          <w:color w:val="222222"/>
          <w:sz w:val="22"/>
          <w:szCs w:val="22"/>
        </w:rPr>
        <w:t xml:space="preserve">Uno de los problemas estructurales del contenido de marca personal en redes sociales es que la mayoría de los creadores produce piezas óptimas de manera aislada. Cada video o post está bien ejecutado, pero no acumula hacia ningún activo de marca a largo plazo. Es el equivalente a llenar un balde con agujeros: constantemente se requiere nueva producción para mantener la atención, y el día que se detiene la producción, la presencia desaparece.</w:t>
      </w:r>
    </w:p>
    <w:p>
      <w:pPr>
        <w:spacing w:before="0" w:after="180"/>
        <w:ind w:firstLine="0"/>
      </w:pPr>
      <w:r>
        <w:rPr>
          <w:rFonts w:ascii="Georgia" w:cs="Georgia" w:eastAsia="Georgia" w:hAnsi="Georgia"/>
          <w:color w:val="222222"/>
          <w:sz w:val="22"/>
          <w:szCs w:val="22"/>
        </w:rPr>
        <w:t xml:space="preserve">El modelo Mente Imparable resuelve ese problema estructural porque provee un hilo conductor permanente. Cada reel de mentalismo puede conectarse con una de las cinco dimensiones. Cada entrevista puede profundizar en un concepto del libro. Cada historia personal puede ilustrar un principio del sistema. El resultado es que la audiencia que consume tres piezas de contenido entiende que existe un sistema. La que consume diez, lo apropia. Y la que lo apropia, lo prescribe.</w:t>
      </w:r>
    </w:p>
    <w:p>
      <w:pPr>
        <w:spacing w:before="0" w:after="180"/>
        <w:ind w:firstLine="0"/>
      </w:pPr>
      <w:r>
        <w:rPr>
          <w:rFonts w:ascii="Georgia" w:cs="Georgia" w:eastAsia="Georgia" w:hAnsi="Georgia"/>
          <w:color w:val="222222"/>
          <w:sz w:val="22"/>
          <w:szCs w:val="22"/>
        </w:rPr>
        <w:t xml:space="preserve">Desde el análisis de ciclos de vida de marca, ese mecanismo de acumulación narrativa es lo que separa a las marcas que crecen de forma compuesta —cada contenido añade valor al anterior— de las que crecen de forma lineal —cada contenido empieza de cero.</w:t>
      </w:r>
    </w:p>
    <w:p>
      <w:pPr>
        <w:pStyle w:val="Heading2"/>
        <w:spacing w:before="320" w:after="120"/>
      </w:pPr>
      <w:r>
        <w:rPr>
          <w:rFonts w:ascii="Arial" w:cs="Arial" w:eastAsia="Arial" w:hAnsi="Arial"/>
          <w:b/>
          <w:bCs/>
          <w:color w:val="B8912A"/>
          <w:sz w:val="26"/>
          <w:szCs w:val="26"/>
        </w:rPr>
        <w:t xml:space="preserve">3. La conversación corporativa sube de precio y de nivel</w:t>
      </w:r>
    </w:p>
    <w:p>
      <w:pPr>
        <w:spacing w:before="0" w:after="180"/>
        <w:ind w:firstLine="0"/>
      </w:pPr>
      <w:r>
        <w:rPr>
          <w:rFonts w:ascii="Georgia" w:cs="Georgia" w:eastAsia="Georgia" w:hAnsi="Georgia"/>
          <w:color w:val="222222"/>
          <w:sz w:val="22"/>
          <w:szCs w:val="22"/>
        </w:rPr>
        <w:t xml:space="preserve">Hay una correlación directa, observable en múltiples mercados, entre la profundidad conceptual de la propuesta de un speaker y el precio que el mercado corporativo está dispuesto a pagar. No es una correlación perfecta —el marketing y las relaciones también pesan—, pero sí es una correlación real y sostenible en el tiempo.</w:t>
      </w:r>
    </w:p>
    <w:p>
      <w:pPr>
        <w:spacing w:before="0" w:after="180"/>
        <w:ind w:firstLine="0"/>
      </w:pPr>
      <w:r>
        <w:rPr>
          <w:rFonts w:ascii="Georgia" w:cs="Georgia" w:eastAsia="Georgia" w:hAnsi="Georgia"/>
          <w:color w:val="222222"/>
          <w:sz w:val="22"/>
          <w:szCs w:val="22"/>
        </w:rPr>
        <w:t xml:space="preserve">Hoy, el pitch de Víctor ante un director de recursos humanos o un CEO es, en esencia, 'te traigo una experiencia memorable de impacto para tu evento'. Eso compite directamente con otros proveedores de experiencias, y en ese territorio la decisión de compra se basa en gran medida en precio, disponibilidad y recomendaciones de pares.</w:t>
      </w:r>
    </w:p>
    <w:p>
      <w:pPr>
        <w:spacing w:before="0" w:after="180"/>
        <w:ind w:firstLine="0"/>
      </w:pPr>
      <w:r>
        <w:rPr>
          <w:rFonts w:ascii="Georgia" w:cs="Georgia" w:eastAsia="Georgia" w:hAnsi="Georgia"/>
          <w:color w:val="222222"/>
          <w:sz w:val="22"/>
          <w:szCs w:val="22"/>
        </w:rPr>
        <w:t xml:space="preserve">Con el ADN propuesto, el pitch cambia a: 'te traigo un programa de transformación de mentalidad para tu organización, demostrado en vivo con neurociencia aplicada, respaldado por un método publicado, que produce un cambio medible en cómo tu equipo aborda el riesgo, la resiliencia y el liderazgo'. Eso no compite con otros proveedores de eventos. Compite con consultoras de desarrollo organizacional, y en ese mercado los precios son estructuralmente distintos.</w:t>
      </w:r>
    </w:p>
    <w:p>
      <w:pPr>
        <w:spacing w:before="60" w:after="60"/>
      </w:pPr>
      <w:r>
        <w:t xml:space="preserve"/>
      </w:r>
    </w:p>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160"/>
        <w:gridCol w:w="8900"/>
        <w:gridCol w:w="200"/>
      </w:tblGrid>
      <w:tr>
        <w:tc>
          <w:tcPr>
            <w:tcW w:type="dxa" w:w="160"/>
            <w:tcBorders>
              <w:top w:val="none" w:color="FFFFFF" w:sz="0"/>
              <w:left w:val="none" w:color="FFFFFF" w:sz="0"/>
              <w:bottom w:val="none" w:color="FFFFFF" w:sz="0"/>
              <w:right w:val="none" w:color="FFFFFF" w:sz="0"/>
            </w:tcBorders>
            <w:shd w:fill="1B2D5B" w:val="clear"/>
            <w:tcMar>
              <w:top w:type="dxa" w:w="0"/>
              <w:left w:type="dxa" w:w="0"/>
              <w:bottom w:type="dxa" w:w="0"/>
              <w:right w:type="dxa" w:w="0"/>
            </w:tcMar>
          </w:tcPr>
          <w:p>
            <w:r>
              <w:t xml:space="preserve"/>
            </w:r>
          </w:p>
        </w:tc>
        <w:tc>
          <w:tcPr>
            <w:tcW w:type="dxa" w:w="8900"/>
            <w:tcBorders>
              <w:top w:val="none" w:color="FFFFFF" w:sz="0"/>
              <w:left w:val="none" w:color="FFFFFF" w:sz="0"/>
              <w:bottom w:val="none" w:color="FFFFFF" w:sz="0"/>
              <w:right w:val="none" w:color="FFFFFF" w:sz="0"/>
            </w:tcBorders>
            <w:shd w:fill="F4F6FA" w:val="clear"/>
            <w:tcMar>
              <w:top w:type="dxa" w:w="160"/>
              <w:left w:type="dxa" w:w="280"/>
              <w:bottom w:type="dxa" w:w="160"/>
              <w:right w:type="dxa" w:w="280"/>
            </w:tcMar>
          </w:tcPr>
          <w:p>
            <w:pPr>
              <w:spacing w:before="0" w:after="0"/>
            </w:pPr>
            <w:r>
              <w:rPr>
                <w:rFonts w:ascii="Georgia" w:cs="Georgia" w:eastAsia="Georgia" w:hAnsi="Georgia"/>
                <w:i/>
                <w:iCs/>
                <w:color w:val="1B2D5B"/>
                <w:sz w:val="23"/>
                <w:szCs w:val="23"/>
              </w:rPr>
              <w:t xml:space="preserve">El precio de una conferencia no lo fija el mercado; lo fija la categoría en la que el speaker se posiciona. Cambiar la categoría es el movimiento de negocio más poderoso que existe, y el libro Mente Imparable provee exactamente el fundamento necesario para hacerlo.</w:t>
            </w:r>
          </w:p>
        </w:tc>
        <w:tc>
          <w:tcPr>
            <w:tcW w:type="dxa" w:w="200"/>
            <w:tcBorders>
              <w:top w:val="none" w:color="FFFFFF" w:sz="0"/>
              <w:left w:val="none" w:color="FFFFFF" w:sz="0"/>
              <w:bottom w:val="none" w:color="FFFFFF" w:sz="0"/>
              <w:right w:val="none" w:color="FFFFFF" w:sz="0"/>
            </w:tcBorders>
            <w:shd w:fill="F4F6FA" w:val="clear"/>
            <w:tcMar>
              <w:top w:type="dxa" w:w="0"/>
              <w:left w:type="dxa" w:w="0"/>
              <w:bottom w:type="dxa" w:w="0"/>
              <w:right w:type="dxa" w:w="0"/>
            </w:tcMar>
          </w:tcPr>
          <w:p>
            <w:r>
              <w:t xml:space="preserve"/>
            </w:r>
          </w:p>
        </w:tc>
      </w:tr>
    </w:tbl>
    <w:p>
      <w:pPr>
        <w:spacing w:before="80" w:after="80"/>
      </w:pPr>
      <w:r>
        <w:t xml:space="preserve"/>
      </w:r>
    </w:p>
    <w:p>
      <w:pPr>
        <w:pStyle w:val="Heading2"/>
        <w:spacing w:before="320" w:after="120"/>
      </w:pPr>
      <w:r>
        <w:rPr>
          <w:rFonts w:ascii="Arial" w:cs="Arial" w:eastAsia="Arial" w:hAnsi="Arial"/>
          <w:b/>
          <w:bCs/>
          <w:color w:val="B8912A"/>
          <w:sz w:val="26"/>
          <w:szCs w:val="26"/>
        </w:rPr>
        <w:t xml:space="preserve">4. El libro se convierte en el centro de gravedad del ecosistema</w:t>
      </w:r>
    </w:p>
    <w:p>
      <w:pPr>
        <w:spacing w:before="0" w:after="180"/>
        <w:ind w:firstLine="0"/>
      </w:pPr>
      <w:r>
        <w:rPr>
          <w:rFonts w:ascii="Georgia" w:cs="Georgia" w:eastAsia="Georgia" w:hAnsi="Georgia"/>
          <w:color w:val="222222"/>
          <w:sz w:val="22"/>
          <w:szCs w:val="22"/>
        </w:rPr>
        <w:t xml:space="preserve">En la arquitectura de ecosistemas de marca personal, el libro es el activo con mayor vida útil y menor costo marginal de influencia. Un reel dura horas o días en el feed. Una conferencia dura horas en la memoria. Un libro, cuando está bien posicionado, dura años en la conversación.</w:t>
      </w:r>
    </w:p>
    <w:p>
      <w:pPr>
        <w:spacing w:before="0" w:after="180"/>
        <w:ind w:firstLine="0"/>
      </w:pPr>
      <w:r>
        <w:rPr>
          <w:rFonts w:ascii="Georgia" w:cs="Georgia" w:eastAsia="Georgia" w:hAnsi="Georgia"/>
          <w:color w:val="222222"/>
          <w:sz w:val="22"/>
          <w:szCs w:val="22"/>
        </w:rPr>
        <w:t xml:space="preserve">Hoy, Mente Imparable existe como un producto paralelo a la marca de Víctor. Se menciona cuando el tema lo requiere, aparece en algunos posts y en las presentaciones. Pero no actúa como el centro de gravedad del ecosistema, que es la función que un libro de este nivel debería cumplir.</w:t>
      </w:r>
    </w:p>
    <w:p>
      <w:pPr>
        <w:spacing w:before="0" w:after="180"/>
        <w:ind w:firstLine="0"/>
      </w:pPr>
      <w:r>
        <w:rPr>
          <w:rFonts w:ascii="Georgia" w:cs="Georgia" w:eastAsia="Georgia" w:hAnsi="Georgia"/>
          <w:color w:val="222222"/>
          <w:sz w:val="22"/>
          <w:szCs w:val="22"/>
        </w:rPr>
        <w:t xml:space="preserve">El reposicionamiento de ADN convierte al libro en el hub hacia el que todo apunta y desde el que todo parte. El reel termina con una referencia al método. La conferencia profundiza en las dimensiones del libro. La entrevista explora casos reales de cada capítulo. El taller aplica las herramientas del sistema. Eso no es vender un libro: es construir un universo de marca que el libro ancla, y en ese universo la conversación nunca termina porque siempre hay una dimensión más para explorar.</w:t>
      </w:r>
    </w:p>
    <w:p>
      <w:pPr>
        <w:pStyle w:val="Heading2"/>
        <w:spacing w:before="320" w:after="120"/>
      </w:pPr>
      <w:r>
        <w:rPr>
          <w:rFonts w:ascii="Arial" w:cs="Arial" w:eastAsia="Arial" w:hAnsi="Arial"/>
          <w:b/>
          <w:bCs/>
          <w:color w:val="B8912A"/>
          <w:sz w:val="26"/>
          <w:szCs w:val="26"/>
        </w:rPr>
        <w:t xml:space="preserve">5. La frase que la audiencia repite cambia de registro</w:t>
      </w:r>
    </w:p>
    <w:p>
      <w:pPr>
        <w:spacing w:before="0" w:after="180"/>
        <w:ind w:firstLine="0"/>
      </w:pPr>
      <w:r>
        <w:rPr>
          <w:rFonts w:ascii="Georgia" w:cs="Georgia" w:eastAsia="Georgia" w:hAnsi="Georgia"/>
          <w:color w:val="222222"/>
          <w:sz w:val="22"/>
          <w:szCs w:val="22"/>
        </w:rPr>
        <w:t xml:space="preserve">Este es el indicador de percepción de marca que más peso tiene en el análisis cualitativo de identidad, y también el que más frecuentemente se ignora porque es difícil de medir. La pregunta no es qué dice la marca sobre sí misma, sino qué dice la audiencia sobre la marca cuando no está la marca presente.</w:t>
      </w:r>
    </w:p>
    <w:p>
      <w:pPr>
        <w:spacing w:before="0" w:after="180"/>
        <w:ind w:firstLine="0"/>
      </w:pPr>
      <w:r>
        <w:rPr>
          <w:rFonts w:ascii="Georgia" w:cs="Georgia" w:eastAsia="Georgia" w:hAnsi="Georgia"/>
          <w:color w:val="222222"/>
          <w:sz w:val="22"/>
          <w:szCs w:val="22"/>
        </w:rPr>
        <w:t xml:space="preserve">Hoy, la frase que circula después de un show de Víctor es alguna variación de: 'estuvo increíble, no entiendo cómo lo hizo'. Es una frase de admiración, y la admiración tiene un problema estructural como activo de marca: no se replica. Nadie le dice a un amigo 'deberías ver a Víctor porque quedas admirado'; le dice 'deberías verlo porque te hace pensar diferente'. La primera frase produce asistentes. La segunda produce prescriptores.</w:t>
      </w:r>
    </w:p>
    <w:p>
      <w:pPr>
        <w:spacing w:before="0" w:after="180"/>
        <w:ind w:firstLine="0"/>
      </w:pPr>
      <w:r>
        <w:rPr>
          <w:rFonts w:ascii="Georgia" w:cs="Georgia" w:eastAsia="Georgia" w:hAnsi="Georgia"/>
          <w:color w:val="222222"/>
          <w:sz w:val="22"/>
          <w:szCs w:val="22"/>
        </w:rPr>
        <w:t xml:space="preserve">Con el ADN propuesto, la frase que debe circular es: 'el único imposible es el que tú mismo te metes en la cabeza'. O bien: 'después de verlo, ya no puedo usar la excusa de que algo es imposible'. Esas frases viajan. Generan curiosidad. Y cada vez que alguien las repite, está reproduciendo el posicionamiento de marca de Víctor sin que Víctor tenga que estar presente. Eso es lo que en branding se llama capital de marca acumulado, y es el activo más valioso —y más difícil de construir— que existe.</w:t>
      </w:r>
    </w:p>
    <w:p>
      <w:r>
        <w:r>
          <w:br w:type="page"/>
        </w:r>
      </w:r>
    </w:p>
    <w:p>
      <w:pPr>
        <w:pStyle w:val="Heading1"/>
        <w:pBdr>
          <w:bottom w:val="single" w:color="1B2D5B" w:sz="6" w:space="6"/>
        </w:pBdr>
        <w:spacing w:before="440" w:after="200"/>
      </w:pPr>
      <w:r>
        <w:rPr>
          <w:rFonts w:ascii="Arial" w:cs="Arial" w:eastAsia="Arial" w:hAnsi="Arial"/>
          <w:b/>
          <w:bCs/>
          <w:color w:val="1B2D5B"/>
          <w:sz w:val="34"/>
          <w:szCs w:val="34"/>
        </w:rPr>
        <w:t xml:space="preserve">V. Conclusiones del análisis</w:t>
      </w:r>
    </w:p>
    <w:p>
      <w:pPr>
        <w:spacing w:before="0" w:after="180"/>
        <w:ind w:firstLine="0"/>
      </w:pPr>
      <w:r>
        <w:rPr>
          <w:rFonts w:ascii="Georgia" w:cs="Georgia" w:eastAsia="Georgia" w:hAnsi="Georgia"/>
          <w:color w:val="222222"/>
          <w:sz w:val="22"/>
          <w:szCs w:val="22"/>
        </w:rPr>
        <w:t xml:space="preserve">Este diagnóstico ha recorrido el estado actual de la marca de Víctor Castañeda, ha analizado sus fortalezas y sus fricciones estructurales, y ha propuesto una arquitectura de reposicionamiento basada en la integración del libro Mente Imparable como centro de gravedad del ecosistema. Las conclusiones que siguen sintetizan los hallazgos más relevantes desde la perspectiva de quien ha observado y analizado con detenimiento la construcción de marcas personales de alto impacto.</w:t>
      </w:r>
    </w:p>
    <w:p>
      <w:pPr>
        <w:pStyle w:val="Heading3"/>
        <w:spacing w:before="260" w:after="80"/>
      </w:pPr>
      <w:r>
        <w:rPr>
          <w:rFonts w:ascii="Arial" w:cs="Arial" w:eastAsia="Arial" w:hAnsi="Arial"/>
          <w:b/>
          <w:bCs/>
          <w:color w:val="4A5568"/>
          <w:sz w:val="23"/>
          <w:szCs w:val="23"/>
        </w:rPr>
        <w:t xml:space="preserve">Primera conclusión: el problema no es la marca, es la narrativa</w:t>
      </w:r>
    </w:p>
    <w:p>
      <w:pPr>
        <w:spacing w:before="0" w:after="180"/>
        <w:ind w:firstLine="0"/>
      </w:pPr>
      <w:r>
        <w:rPr>
          <w:rFonts w:ascii="Georgia" w:cs="Georgia" w:eastAsia="Georgia" w:hAnsi="Georgia"/>
          <w:color w:val="222222"/>
          <w:sz w:val="22"/>
          <w:szCs w:val="22"/>
        </w:rPr>
        <w:t xml:space="preserve">Víctor Castañeda no tiene un problema de marca. Tiene un problema de narrativa estratégica. Lo que ha construido en más de veinte años de trabajo —la credibilidad, el estilo, las habilidades únicas, el libro— es el raw material de una marca personal de primer nivel. Lo que falta es el relato que integre todos esos elementos en un sistema coherente y replicable. Sin ese relato, los activos existen en paralelo pero no se potencian mutuamente.</w:t>
      </w:r>
    </w:p>
    <w:p>
      <w:pPr>
        <w:pStyle w:val="Heading3"/>
        <w:spacing w:before="260" w:after="80"/>
      </w:pPr>
      <w:r>
        <w:rPr>
          <w:rFonts w:ascii="Arial" w:cs="Arial" w:eastAsia="Arial" w:hAnsi="Arial"/>
          <w:b/>
          <w:bCs/>
          <w:color w:val="4A5568"/>
          <w:sz w:val="23"/>
          <w:szCs w:val="23"/>
        </w:rPr>
        <w:t xml:space="preserve">Segunda conclusión: el libro es la palanca, no el producto</w:t>
      </w:r>
    </w:p>
    <w:p>
      <w:pPr>
        <w:spacing w:before="0" w:after="180"/>
        <w:ind w:firstLine="0"/>
      </w:pPr>
      <w:r>
        <w:rPr>
          <w:rFonts w:ascii="Georgia" w:cs="Georgia" w:eastAsia="Georgia" w:hAnsi="Georgia"/>
          <w:color w:val="222222"/>
          <w:sz w:val="22"/>
          <w:szCs w:val="22"/>
        </w:rPr>
        <w:t xml:space="preserve">El error más común que cometen los autores-speakers al publicar un libro es tratarlo como un producto adicional en su catálogo. El libro Mente Imparable no es un producto: es la articulación más completa y más duradera de la filosofía de marca de Víctor. Cuando se trata como palanca —como el sistema que da sentido a todo lo demás—, el ecosistema entero gana coherencia, profundidad y poder de acumulación.</w:t>
      </w:r>
    </w:p>
    <w:p>
      <w:pPr>
        <w:pStyle w:val="Heading3"/>
        <w:spacing w:before="260" w:after="80"/>
      </w:pPr>
      <w:r>
        <w:rPr>
          <w:rFonts w:ascii="Arial" w:cs="Arial" w:eastAsia="Arial" w:hAnsi="Arial"/>
          <w:b/>
          <w:bCs/>
          <w:color w:val="4A5568"/>
          <w:sz w:val="23"/>
          <w:szCs w:val="23"/>
        </w:rPr>
        <w:t xml:space="preserve">Tercera conclusión: el ilusionismo es un diferenciador irreemplazable, no el producto central</w:t>
      </w:r>
    </w:p>
    <w:p>
      <w:pPr>
        <w:spacing w:before="0" w:after="180"/>
        <w:ind w:firstLine="0"/>
      </w:pPr>
      <w:r>
        <w:rPr>
          <w:rFonts w:ascii="Georgia" w:cs="Georgia" w:eastAsia="Georgia" w:hAnsi="Georgia"/>
          <w:color w:val="222222"/>
          <w:sz w:val="22"/>
          <w:szCs w:val="22"/>
        </w:rPr>
        <w:t xml:space="preserve">La mayor fortaleza competitiva de Víctor Castañeda —la que ningún coach de mindset, ningún consultor de liderazgo y ningún psicólogo organizacional puede replicar— es su capacidad de demostrar en vivo, con el cuerpo y la mente del espectador como laboratorio, principios que otros solo pueden explicar en abstracto. Esa capacidad no desaparece con el reposicionamiento: se amplifica, porque ahora tiene un para qué que trasciende el asombro momentáneo.</w:t>
      </w:r>
    </w:p>
    <w:p>
      <w:pPr>
        <w:pStyle w:val="Heading3"/>
        <w:spacing w:before="260" w:after="80"/>
      </w:pPr>
      <w:r>
        <w:rPr>
          <w:rFonts w:ascii="Arial" w:cs="Arial" w:eastAsia="Arial" w:hAnsi="Arial"/>
          <w:b/>
          <w:bCs/>
          <w:color w:val="4A5568"/>
          <w:sz w:val="23"/>
          <w:szCs w:val="23"/>
        </w:rPr>
        <w:t xml:space="preserve">Cuarta conclusión: el momento es ahora</w:t>
      </w:r>
    </w:p>
    <w:p>
      <w:pPr>
        <w:spacing w:before="0" w:after="180"/>
        <w:ind w:firstLine="0"/>
      </w:pPr>
      <w:r>
        <w:rPr>
          <w:rFonts w:ascii="Georgia" w:cs="Georgia" w:eastAsia="Georgia" w:hAnsi="Georgia"/>
          <w:color w:val="222222"/>
          <w:sz w:val="22"/>
          <w:szCs w:val="22"/>
        </w:rPr>
        <w:t xml:space="preserve">El mercado hispanohablante de conferencias corporativas y desarrollo personal de alto valor está en un momento de transición. El modelo del 'speaker motivacional' está perdiendo credibilidad, y el mercado busca propuestas con mayor profundidad conceptual, más ancladas en evidencia y más transferibles a contextos organizacionales reales. Víctor llega a ese momento con exactamente lo que ese mercado necesita. La pregunta es si lo comunica a tiempo.</w:t>
      </w:r>
    </w:p>
    <w:p>
      <w:pPr>
        <w:spacing w:before="100" w:after="80"/>
      </w:pPr>
      <w:r>
        <w:t xml:space="preserve"/>
      </w:r>
    </w:p>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9260"/>
      </w:tblGrid>
      <w:tr>
        <w:tc>
          <w:tcPr>
            <w:tcW w:type="dxa" w:w="9260"/>
            <w:tcBorders>
              <w:top w:val="single" w:color="B8912A" w:sz="6"/>
              <w:left w:val="single" w:color="B8912A" w:sz="6"/>
              <w:bottom w:val="single" w:color="B8912A" w:sz="6"/>
              <w:right w:val="single" w:color="B8912A" w:sz="6"/>
            </w:tcBorders>
            <w:shd w:fill="F4F6FA" w:val="clear"/>
            <w:tcMar>
              <w:top w:type="dxa" w:w="180"/>
              <w:left w:type="dxa" w:w="240"/>
              <w:bottom w:type="dxa" w:w="180"/>
              <w:right w:type="dxa" w:w="240"/>
            </w:tcMar>
          </w:tcPr>
          <w:p>
            <w:pPr>
              <w:spacing w:before="0" w:after="80"/>
            </w:pPr>
            <w:r>
              <w:rPr>
                <w:rFonts w:ascii="Arial" w:cs="Arial" w:eastAsia="Arial" w:hAnsi="Arial"/>
                <w:b/>
                <w:bCs/>
                <w:color w:val="1B2D5B"/>
                <w:sz w:val="20"/>
                <w:szCs w:val="20"/>
              </w:rPr>
              <w:t xml:space="preserve">Conclusión final del autor</w:t>
            </w:r>
          </w:p>
          <w:p>
            <w:pPr>
              <w:spacing w:before="0" w:after="0"/>
            </w:pPr>
            <w:r>
              <w:rPr>
                <w:rFonts w:ascii="Georgia" w:cs="Georgia" w:eastAsia="Georgia" w:hAnsi="Georgia"/>
                <w:color w:val="222222"/>
                <w:sz w:val="22"/>
                <w:szCs w:val="22"/>
              </w:rPr>
              <w:t xml:space="preserve">Víctor Castañeda tiene en sus manos todos los ingredientes de una marca personal de nivel internacional: un talento único que genera atención inmediata, una filosofía de transformación mental respaldada por evidencia y publicada en un libro, una audiencia de alto valor percibido y una trayectoria de credibilidad que habla por sí sola. El único trabajo que queda es de diseño estratégico: integrar esos elementos en un sistema de comunicación que ponga al ilusionismo al servicio de la filosofía, a la filosofía al servicio del método, y al método al servicio de la transformación de quien lo consume. Cuando eso ocurra, la marca dejará de ser admirable para convertirse en algo mucho más poderoso: indispensable.</w:t>
            </w:r>
          </w:p>
        </w:tc>
      </w:tr>
    </w:tbl>
    <w:p>
      <w:pPr>
        <w:spacing w:before="200" w:after="80"/>
      </w:pPr>
      <w:r>
        <w:t xml:space="preserve"/>
      </w:r>
    </w:p>
    <w:p>
      <w:pPr>
        <w:pBdr>
          <w:top w:val="single" w:color="D0D7E5" w:sz="4" w:space="10"/>
        </w:pBdr>
        <w:spacing w:before="100" w:after="60"/>
        <w:jc w:val="left"/>
      </w:pPr>
      <w:r>
        <w:rPr>
          <w:rFonts w:ascii="Georgia" w:cs="Georgia" w:eastAsia="Georgia" w:hAnsi="Georgia"/>
          <w:i/>
          <w:iCs/>
          <w:color w:val="6B7280"/>
          <w:sz w:val="18"/>
          <w:szCs w:val="18"/>
        </w:rPr>
        <w:t xml:space="preserve">Documento elaborado como análisis estratégico de marca personal y percepción · 2025</w:t>
      </w:r>
    </w:p>
    <w:p>
      <w:pPr>
        <w:spacing w:before="0" w:after="0"/>
        <w:jc w:val="left"/>
      </w:pPr>
      <w:r>
        <w:rPr>
          <w:rFonts w:ascii="Georgia" w:cs="Georgia" w:eastAsia="Georgia" w:hAnsi="Georgia"/>
          <w:i/>
          <w:iCs/>
          <w:color w:val="6B7280"/>
          <w:sz w:val="18"/>
          <w:szCs w:val="18"/>
        </w:rPr>
        <w:t xml:space="preserve">Basado en el análisis del ADN de marca actual de Víctor Castañeda y el contenido del libro Mente Imparable</w:t>
      </w:r>
    </w:p>
    <w:sectPr>
      <w:headerReference w:type="default" r:id="rId6"/>
      <w:footerReference w:type="default" r:id="rId7"/>
      <w:pgSz w:w="12240" w:h="15840" w:orient="portrait"/>
      <w:pgMar w:top="1260" w:right="1260" w:bottom="126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0D7E5" w:sz="4" w:space="8"/>
      </w:pBdr>
      <w:spacing w:before="100" w:after="0"/>
    </w:pPr>
    <w:r>
      <w:rPr>
        <w:rFonts w:ascii="Arial" w:cs="Arial" w:eastAsia="Arial" w:hAnsi="Arial"/>
        <w:color w:val="6B7280"/>
        <w:sz w:val="18"/>
        <w:szCs w:val="18"/>
      </w:rPr>
      <w:t xml:space="preserve">Diagnóstico de Marca Personal  ·  2025</w:t>
    </w:r>
    <w:r>
      <w:rPr>
        <w:rFonts w:ascii="Arial" w:cs="Arial" w:eastAsia="Arial" w:hAnsi="Arial"/>
        <w:color w:val="6B7280"/>
        <w:sz w:val="18"/>
        <w:szCs w:val="18"/>
      </w:rPr>
      <w:t xml:space="preserve">          Página </w:t>
    </w:r>
    <w:r>
      <w:rPr>
        <w:rFonts w:ascii="Arial" w:cs="Arial" w:eastAsia="Arial" w:hAnsi="Arial"/>
        <w:color w:val="6B7280"/>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D0D7E5" w:sz="4" w:space="8"/>
      </w:pBdr>
      <w:spacing w:before="0" w:after="100"/>
    </w:pPr>
    <w:r>
      <w:rPr>
        <w:rFonts w:ascii="Arial" w:cs="Arial" w:eastAsia="Arial" w:hAnsi="Arial"/>
        <w:color w:val="6B7280"/>
        <w:sz w:val="18"/>
        <w:szCs w:val="18"/>
      </w:rPr>
      <w:t xml:space="preserve">Análisis de ADN de Marca  ·  Víctor Castañeda</w:t>
    </w:r>
    <w:r>
      <w:rPr>
        <w:rFonts w:ascii="Arial" w:cs="Arial" w:eastAsia="Arial" w:hAnsi="Arial"/>
        <w:color w:val="D0D7E5"/>
        <w:sz w:val="18"/>
        <w:szCs w:val="18"/>
      </w:rPr>
      <w:t xml:space="preserve">   |   Confidencial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600" w:hanging="320"/>
      </w:pPr>
      <w:rPr>
        <w:rFonts w:ascii="Arial" w:cs="Arial" w:eastAsia="Arial" w:hAnsi="Arial"/>
      </w:rPr>
    </w:lvl>
  </w:abstractNum>
  <w:abstractNum w:abstractNumId="3" w15:restartNumberingAfterBreak="0">
    <w:multiLevelType w:val="hybridMultilevel"/>
    <w:lvl w:ilvl="0" w15:tentative="1">
      <w:start w:val="1"/>
      <w:numFmt w:val="decimal"/>
      <w:lvlText w:val="%1."/>
      <w:lvlJc w:val="left"/>
      <w:pPr>
        <w:ind w:left="600" w:hanging="32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440" w:after="200"/>
      <w:outlineLvl w:val="0"/>
    </w:pPr>
    <w:rPr>
      <w:rFonts w:ascii="Arial" w:cs="Arial" w:eastAsia="Arial" w:hAnsi="Arial"/>
      <w:b/>
      <w:bCs/>
      <w:color w:val="1B2D5B"/>
      <w:sz w:val="34"/>
      <w:szCs w:val="34"/>
    </w:rPr>
  </w:style>
  <w:style w:type="paragraph" w:styleId="Heading2">
    <w:name w:val="Heading 2"/>
    <w:basedOn w:val="Normal"/>
    <w:next w:val="Normal"/>
    <w:qFormat/>
    <w:pPr>
      <w:spacing w:before="320" w:after="120"/>
      <w:outlineLvl w:val="1"/>
    </w:pPr>
    <w:rPr>
      <w:rFonts w:ascii="Arial" w:cs="Arial" w:eastAsia="Arial" w:hAnsi="Arial"/>
      <w:b/>
      <w:bCs/>
      <w:color w:val="B8912A"/>
      <w:sz w:val="26"/>
      <w:szCs w:val="26"/>
    </w:rPr>
  </w:style>
  <w:style w:type="paragraph" w:styleId="Heading3">
    <w:name w:val="Heading 3"/>
    <w:basedOn w:val="Normal"/>
    <w:next w:val="Normal"/>
    <w:qFormat/>
    <w:pPr>
      <w:spacing w:before="260" w:after="80"/>
      <w:outlineLvl w:val="2"/>
    </w:pPr>
    <w:rPr>
      <w:rFonts w:ascii="Arial" w:cs="Arial" w:eastAsia="Arial" w:hAnsi="Arial"/>
      <w:b/>
      <w:bCs/>
      <w:color w:val="4A5568"/>
      <w:sz w:val="23"/>
      <w:szCs w:val="23"/>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2026-03-20T05:43:45.749Z</dcterms:created>
  <dcterms:modified xsi:type="dcterms:W3CDTF">2026-03-20T05:43:45.750Z</dcterms:modified>
</cp:coreProperties>
</file>

<file path=docProps/custom.xml><?xml version="1.0" encoding="utf-8"?>
<Properties xmlns="http://schemas.openxmlformats.org/officeDocument/2006/custom-properties" xmlns:vt="http://schemas.openxmlformats.org/officeDocument/2006/docPropsVTypes"/>
</file>